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958D" w14:textId="77777777" w:rsidR="00BA025D" w:rsidRPr="00CE740B" w:rsidRDefault="00394296" w:rsidP="00CE740B">
      <w:pPr>
        <w:jc w:val="center"/>
        <w:rPr>
          <w:rFonts w:ascii="Arial" w:hAnsi="Arial" w:cs="Arial"/>
          <w:b/>
          <w:u w:val="single"/>
        </w:rPr>
      </w:pPr>
      <w:r>
        <w:rPr>
          <w:rFonts w:ascii="Arial" w:hAnsi="Arial" w:cs="Arial"/>
          <w:b/>
          <w:u w:val="single"/>
        </w:rPr>
        <w:t>DECISION OF THE TRIBUNAL</w:t>
      </w:r>
      <w:r w:rsidR="00602F57">
        <w:rPr>
          <w:rFonts w:ascii="Arial" w:hAnsi="Arial" w:cs="Arial"/>
          <w:b/>
          <w:u w:val="single"/>
        </w:rPr>
        <w:t xml:space="preserve"> ON A PRELIMINARY ISSUE</w:t>
      </w:r>
    </w:p>
    <w:p w14:paraId="2FD93ED4" w14:textId="77777777" w:rsidR="00394296" w:rsidRDefault="00394296" w:rsidP="00CE740B">
      <w:pPr>
        <w:outlineLvl w:val="0"/>
        <w:rPr>
          <w:rFonts w:ascii="Arial" w:hAnsi="Arial" w:cs="Arial"/>
          <w:b/>
        </w:rPr>
      </w:pPr>
    </w:p>
    <w:p w14:paraId="3C4C278D" w14:textId="77777777" w:rsidR="004B6111" w:rsidRPr="007F00B7" w:rsidRDefault="007D087B" w:rsidP="006855DD">
      <w:pPr>
        <w:rPr>
          <w:rFonts w:ascii="Arial" w:hAnsi="Arial" w:cs="Arial"/>
          <w:b/>
        </w:rPr>
      </w:pPr>
      <w:r>
        <w:rPr>
          <w:rFonts w:ascii="Arial" w:hAnsi="Arial" w:cs="Arial"/>
          <w:b/>
        </w:rPr>
        <w:t>Claim</w:t>
      </w:r>
    </w:p>
    <w:p w14:paraId="50963293" w14:textId="77777777" w:rsidR="006855DD" w:rsidRPr="006855DD" w:rsidRDefault="006855DD" w:rsidP="003F16EE">
      <w:pPr>
        <w:jc w:val="both"/>
        <w:rPr>
          <w:rFonts w:ascii="Arial" w:hAnsi="Arial" w:cs="Arial"/>
        </w:rPr>
      </w:pPr>
    </w:p>
    <w:p w14:paraId="2D1F0FE3" w14:textId="77777777" w:rsidR="007D1AA7" w:rsidRDefault="007D087B" w:rsidP="00543A0F">
      <w:pPr>
        <w:pStyle w:val="ListParagraph"/>
        <w:numPr>
          <w:ilvl w:val="0"/>
          <w:numId w:val="3"/>
        </w:numPr>
        <w:jc w:val="both"/>
        <w:rPr>
          <w:rFonts w:ascii="Arial" w:hAnsi="Arial" w:cs="Arial"/>
        </w:rPr>
      </w:pPr>
      <w:r>
        <w:rPr>
          <w:rFonts w:ascii="Arial" w:hAnsi="Arial" w:cs="Arial"/>
        </w:rPr>
        <w:t>This is a claim under the Equality Act 2010</w:t>
      </w:r>
      <w:r w:rsidR="00FB3933">
        <w:rPr>
          <w:rFonts w:ascii="Arial" w:hAnsi="Arial" w:cs="Arial"/>
        </w:rPr>
        <w:t xml:space="preserve"> (‘</w:t>
      </w:r>
      <w:r w:rsidR="00FB3933" w:rsidRPr="00FB3933">
        <w:rPr>
          <w:rFonts w:ascii="Arial" w:hAnsi="Arial" w:cs="Arial"/>
          <w:b/>
        </w:rPr>
        <w:t>the 2010 Act’</w:t>
      </w:r>
      <w:r w:rsidR="00FB3933">
        <w:rPr>
          <w:rFonts w:ascii="Arial" w:hAnsi="Arial" w:cs="Arial"/>
        </w:rPr>
        <w:t>)</w:t>
      </w:r>
      <w:r>
        <w:rPr>
          <w:rFonts w:ascii="Arial" w:hAnsi="Arial" w:cs="Arial"/>
        </w:rPr>
        <w:t>, received on 8 July 2021</w:t>
      </w:r>
      <w:r w:rsidR="007D1AA7">
        <w:rPr>
          <w:rFonts w:ascii="Arial" w:hAnsi="Arial" w:cs="Arial"/>
        </w:rPr>
        <w:t>. The responsible body</w:t>
      </w:r>
      <w:r w:rsidR="001B2BA8" w:rsidRPr="007E6239">
        <w:rPr>
          <w:rFonts w:ascii="Arial" w:hAnsi="Arial" w:cs="Arial"/>
        </w:rPr>
        <w:t xml:space="preserve"> raised a pre</w:t>
      </w:r>
      <w:r w:rsidR="007F6142">
        <w:rPr>
          <w:rFonts w:ascii="Arial" w:hAnsi="Arial" w:cs="Arial"/>
        </w:rPr>
        <w:t xml:space="preserve">liminary issue, namely whether the </w:t>
      </w:r>
      <w:r w:rsidR="007D1AA7">
        <w:rPr>
          <w:rFonts w:ascii="Arial" w:hAnsi="Arial" w:cs="Arial"/>
        </w:rPr>
        <w:t>claim</w:t>
      </w:r>
      <w:r w:rsidR="006F081E">
        <w:rPr>
          <w:rFonts w:ascii="Arial" w:hAnsi="Arial" w:cs="Arial"/>
        </w:rPr>
        <w:t xml:space="preserve"> should be permitted to be received late</w:t>
      </w:r>
      <w:r w:rsidR="001B2BA8" w:rsidRPr="007E6239">
        <w:rPr>
          <w:rFonts w:ascii="Arial" w:hAnsi="Arial" w:cs="Arial"/>
        </w:rPr>
        <w:t xml:space="preserve">. </w:t>
      </w:r>
    </w:p>
    <w:p w14:paraId="1BB1532E" w14:textId="77777777" w:rsidR="007D1AA7" w:rsidRDefault="007D1AA7" w:rsidP="007D1AA7">
      <w:pPr>
        <w:pStyle w:val="ListParagraph"/>
        <w:ind w:left="360"/>
        <w:jc w:val="both"/>
        <w:rPr>
          <w:rFonts w:ascii="Arial" w:hAnsi="Arial" w:cs="Arial"/>
        </w:rPr>
      </w:pPr>
    </w:p>
    <w:p w14:paraId="7CD0CBC5" w14:textId="77777777" w:rsidR="00132370" w:rsidRDefault="007D1AA7" w:rsidP="00543A0F">
      <w:pPr>
        <w:pStyle w:val="ListParagraph"/>
        <w:numPr>
          <w:ilvl w:val="0"/>
          <w:numId w:val="3"/>
        </w:numPr>
        <w:jc w:val="both"/>
        <w:rPr>
          <w:rFonts w:ascii="Arial" w:hAnsi="Arial" w:cs="Arial"/>
        </w:rPr>
      </w:pPr>
      <w:r>
        <w:rPr>
          <w:rFonts w:ascii="Arial" w:hAnsi="Arial" w:cs="Arial"/>
        </w:rPr>
        <w:t xml:space="preserve">As agreed by the parties, </w:t>
      </w:r>
      <w:r w:rsidR="007E6239">
        <w:rPr>
          <w:rFonts w:ascii="Arial" w:hAnsi="Arial" w:cs="Arial"/>
        </w:rPr>
        <w:t>I have decided this issue under</w:t>
      </w:r>
      <w:r>
        <w:rPr>
          <w:rFonts w:ascii="Arial" w:hAnsi="Arial" w:cs="Arial"/>
        </w:rPr>
        <w:t xml:space="preserve"> rule 69</w:t>
      </w:r>
      <w:r w:rsidR="007E6239">
        <w:rPr>
          <w:rFonts w:ascii="Arial" w:hAnsi="Arial" w:cs="Arial"/>
        </w:rPr>
        <w:t xml:space="preserve"> of the First-tier Tribunal for Scotland Health and Education Chamber Rules of Procedure 2018 (schedule</w:t>
      </w:r>
      <w:r w:rsidR="009921FA">
        <w:rPr>
          <w:rFonts w:ascii="Arial" w:hAnsi="Arial" w:cs="Arial"/>
        </w:rPr>
        <w:t xml:space="preserve"> to SSI 2017/366) (</w:t>
      </w:r>
      <w:r w:rsidR="009921FA" w:rsidRPr="007D1AA7">
        <w:rPr>
          <w:rFonts w:ascii="Arial" w:hAnsi="Arial" w:cs="Arial"/>
        </w:rPr>
        <w:t>‘</w:t>
      </w:r>
      <w:r w:rsidR="009921FA" w:rsidRPr="004D250A">
        <w:rPr>
          <w:rFonts w:ascii="Arial" w:hAnsi="Arial" w:cs="Arial"/>
          <w:b/>
        </w:rPr>
        <w:t>the rules</w:t>
      </w:r>
      <w:r w:rsidR="009921FA" w:rsidRPr="007D1AA7">
        <w:rPr>
          <w:rFonts w:ascii="Arial" w:hAnsi="Arial" w:cs="Arial"/>
        </w:rPr>
        <w:t>’</w:t>
      </w:r>
      <w:r w:rsidR="009921FA">
        <w:rPr>
          <w:rFonts w:ascii="Arial" w:hAnsi="Arial" w:cs="Arial"/>
        </w:rPr>
        <w:t>)</w:t>
      </w:r>
      <w:r w:rsidR="007E6239">
        <w:rPr>
          <w:rFonts w:ascii="Arial" w:hAnsi="Arial" w:cs="Arial"/>
        </w:rPr>
        <w:t>.</w:t>
      </w:r>
    </w:p>
    <w:p w14:paraId="71265061" w14:textId="77777777" w:rsidR="007F00B7" w:rsidRDefault="007F00B7" w:rsidP="007F00B7">
      <w:pPr>
        <w:jc w:val="both"/>
        <w:rPr>
          <w:rFonts w:ascii="Arial" w:hAnsi="Arial" w:cs="Arial"/>
        </w:rPr>
      </w:pPr>
    </w:p>
    <w:p w14:paraId="65E69757" w14:textId="77777777" w:rsidR="007F00B7" w:rsidRPr="007F00B7" w:rsidRDefault="007F00B7" w:rsidP="007F00B7">
      <w:pPr>
        <w:jc w:val="both"/>
        <w:rPr>
          <w:rFonts w:ascii="Arial" w:hAnsi="Arial" w:cs="Arial"/>
          <w:b/>
        </w:rPr>
      </w:pPr>
      <w:r w:rsidRPr="007F00B7">
        <w:rPr>
          <w:rFonts w:ascii="Arial" w:hAnsi="Arial" w:cs="Arial"/>
          <w:b/>
        </w:rPr>
        <w:t>Decision</w:t>
      </w:r>
    </w:p>
    <w:p w14:paraId="5A48D96B" w14:textId="77777777" w:rsidR="007F00B7" w:rsidRPr="007F00B7" w:rsidRDefault="007F00B7" w:rsidP="007F00B7">
      <w:pPr>
        <w:jc w:val="both"/>
        <w:rPr>
          <w:rFonts w:ascii="Arial" w:hAnsi="Arial" w:cs="Arial"/>
        </w:rPr>
      </w:pPr>
    </w:p>
    <w:p w14:paraId="37C9BE88" w14:textId="77777777" w:rsidR="007F00B7" w:rsidRDefault="007F00B7" w:rsidP="007F00B7">
      <w:pPr>
        <w:pStyle w:val="ListParagraph"/>
        <w:numPr>
          <w:ilvl w:val="0"/>
          <w:numId w:val="3"/>
        </w:numPr>
        <w:jc w:val="both"/>
        <w:rPr>
          <w:rFonts w:ascii="Arial" w:hAnsi="Arial" w:cs="Arial"/>
        </w:rPr>
      </w:pPr>
      <w:r>
        <w:rPr>
          <w:rFonts w:ascii="Arial" w:hAnsi="Arial" w:cs="Arial"/>
        </w:rPr>
        <w:t xml:space="preserve">The </w:t>
      </w:r>
      <w:r w:rsidR="007D087B">
        <w:rPr>
          <w:rFonts w:ascii="Arial" w:hAnsi="Arial" w:cs="Arial"/>
        </w:rPr>
        <w:t xml:space="preserve">claim is competent, </w:t>
      </w:r>
      <w:r w:rsidR="007D1AA7">
        <w:rPr>
          <w:rFonts w:ascii="Arial" w:hAnsi="Arial" w:cs="Arial"/>
        </w:rPr>
        <w:t xml:space="preserve">since it is </w:t>
      </w:r>
      <w:r w:rsidR="007D087B">
        <w:rPr>
          <w:rFonts w:ascii="Arial" w:hAnsi="Arial" w:cs="Arial"/>
        </w:rPr>
        <w:t xml:space="preserve">just and equitable to consider it, although it </w:t>
      </w:r>
      <w:r w:rsidR="007D1AA7">
        <w:rPr>
          <w:rFonts w:ascii="Arial" w:hAnsi="Arial" w:cs="Arial"/>
        </w:rPr>
        <w:t xml:space="preserve">was received </w:t>
      </w:r>
      <w:r w:rsidR="007D087B">
        <w:rPr>
          <w:rFonts w:ascii="Arial" w:hAnsi="Arial" w:cs="Arial"/>
        </w:rPr>
        <w:t>late.</w:t>
      </w:r>
    </w:p>
    <w:p w14:paraId="519F2705" w14:textId="77777777" w:rsidR="007F00B7" w:rsidRDefault="007F00B7" w:rsidP="007F00B7">
      <w:pPr>
        <w:jc w:val="both"/>
        <w:rPr>
          <w:rFonts w:ascii="Arial" w:hAnsi="Arial" w:cs="Arial"/>
        </w:rPr>
      </w:pPr>
    </w:p>
    <w:p w14:paraId="61A8CCD2" w14:textId="77777777" w:rsidR="007F00B7" w:rsidRDefault="007F00B7" w:rsidP="007F00B7">
      <w:pPr>
        <w:jc w:val="both"/>
        <w:rPr>
          <w:rFonts w:ascii="Arial" w:hAnsi="Arial" w:cs="Arial"/>
          <w:b/>
        </w:rPr>
      </w:pPr>
      <w:r w:rsidRPr="007F00B7">
        <w:rPr>
          <w:rFonts w:ascii="Arial" w:hAnsi="Arial" w:cs="Arial"/>
          <w:b/>
        </w:rPr>
        <w:t>Process</w:t>
      </w:r>
    </w:p>
    <w:p w14:paraId="23C6849C" w14:textId="77777777" w:rsidR="007F00B7" w:rsidRPr="007F00B7" w:rsidRDefault="007F00B7" w:rsidP="007F00B7">
      <w:pPr>
        <w:jc w:val="both"/>
        <w:rPr>
          <w:rFonts w:ascii="Arial" w:hAnsi="Arial" w:cs="Arial"/>
          <w:b/>
        </w:rPr>
      </w:pPr>
    </w:p>
    <w:p w14:paraId="11DA12DE" w14:textId="77777777" w:rsidR="00315B2C" w:rsidRDefault="007F00B7" w:rsidP="007D087B">
      <w:pPr>
        <w:pStyle w:val="ListParagraph"/>
        <w:numPr>
          <w:ilvl w:val="0"/>
          <w:numId w:val="3"/>
        </w:numPr>
        <w:jc w:val="both"/>
        <w:rPr>
          <w:rFonts w:ascii="Arial" w:hAnsi="Arial" w:cs="Arial"/>
        </w:rPr>
      </w:pPr>
      <w:r>
        <w:rPr>
          <w:rFonts w:ascii="Arial" w:hAnsi="Arial" w:cs="Arial"/>
        </w:rPr>
        <w:t>Follow</w:t>
      </w:r>
      <w:r w:rsidR="007D087B">
        <w:rPr>
          <w:rFonts w:ascii="Arial" w:hAnsi="Arial" w:cs="Arial"/>
        </w:rPr>
        <w:t>ing the lodging of the claim</w:t>
      </w:r>
      <w:r>
        <w:rPr>
          <w:rFonts w:ascii="Arial" w:hAnsi="Arial" w:cs="Arial"/>
        </w:rPr>
        <w:t>, the resp</w:t>
      </w:r>
      <w:r w:rsidR="007D1AA7">
        <w:rPr>
          <w:rFonts w:ascii="Arial" w:hAnsi="Arial" w:cs="Arial"/>
        </w:rPr>
        <w:t>onsible body</w:t>
      </w:r>
      <w:r w:rsidR="001C13D2">
        <w:rPr>
          <w:rFonts w:ascii="Arial" w:hAnsi="Arial" w:cs="Arial"/>
        </w:rPr>
        <w:t xml:space="preserve"> raised the</w:t>
      </w:r>
      <w:r>
        <w:rPr>
          <w:rFonts w:ascii="Arial" w:hAnsi="Arial" w:cs="Arial"/>
        </w:rPr>
        <w:t xml:space="preserve"> preliminary issue. </w:t>
      </w:r>
      <w:r w:rsidR="007D1AA7">
        <w:rPr>
          <w:rFonts w:ascii="Arial" w:hAnsi="Arial" w:cs="Arial"/>
        </w:rPr>
        <w:t xml:space="preserve">Case conference calls with the parties’ solicitors took place. </w:t>
      </w:r>
      <w:r w:rsidR="007D087B">
        <w:rPr>
          <w:rFonts w:ascii="Arial" w:hAnsi="Arial" w:cs="Arial"/>
        </w:rPr>
        <w:t xml:space="preserve">Directions on procedure were issued </w:t>
      </w:r>
      <w:r w:rsidR="00E017AF">
        <w:rPr>
          <w:rFonts w:ascii="Arial" w:hAnsi="Arial" w:cs="Arial"/>
        </w:rPr>
        <w:t>in</w:t>
      </w:r>
      <w:r w:rsidR="007D087B">
        <w:rPr>
          <w:rFonts w:ascii="Arial" w:hAnsi="Arial" w:cs="Arial"/>
        </w:rPr>
        <w:t xml:space="preserve"> August 2021. These led to written submissions being made on the preliminary issue, supplemented by witness statements and other documents. </w:t>
      </w:r>
    </w:p>
    <w:p w14:paraId="761278FB" w14:textId="77777777" w:rsidR="007D1AA7" w:rsidRDefault="007D1AA7" w:rsidP="007D1AA7">
      <w:pPr>
        <w:pStyle w:val="ListParagraph"/>
        <w:ind w:left="360"/>
        <w:jc w:val="both"/>
        <w:rPr>
          <w:rFonts w:ascii="Arial" w:hAnsi="Arial" w:cs="Arial"/>
        </w:rPr>
      </w:pPr>
    </w:p>
    <w:p w14:paraId="3DB82713" w14:textId="77777777" w:rsidR="002B4705" w:rsidRDefault="007D087B" w:rsidP="007D087B">
      <w:pPr>
        <w:pStyle w:val="ListParagraph"/>
        <w:numPr>
          <w:ilvl w:val="0"/>
          <w:numId w:val="3"/>
        </w:numPr>
        <w:jc w:val="both"/>
        <w:rPr>
          <w:rFonts w:ascii="Arial" w:hAnsi="Arial" w:cs="Arial"/>
        </w:rPr>
      </w:pPr>
      <w:r>
        <w:rPr>
          <w:rFonts w:ascii="Arial" w:hAnsi="Arial" w:cs="Arial"/>
        </w:rPr>
        <w:t>It was agreed by both parties</w:t>
      </w:r>
      <w:r w:rsidR="00E017AF">
        <w:rPr>
          <w:rFonts w:ascii="Arial" w:hAnsi="Arial" w:cs="Arial"/>
        </w:rPr>
        <w:t xml:space="preserve"> during a case conference call i</w:t>
      </w:r>
      <w:r>
        <w:rPr>
          <w:rFonts w:ascii="Arial" w:hAnsi="Arial" w:cs="Arial"/>
        </w:rPr>
        <w:t>n</w:t>
      </w:r>
      <w:r w:rsidR="00E017AF">
        <w:rPr>
          <w:rFonts w:ascii="Arial" w:hAnsi="Arial" w:cs="Arial"/>
        </w:rPr>
        <w:t xml:space="preserve"> </w:t>
      </w:r>
      <w:r w:rsidR="00315B2C">
        <w:rPr>
          <w:rFonts w:ascii="Arial" w:hAnsi="Arial" w:cs="Arial"/>
        </w:rPr>
        <w:t>September 2021 that I should make a decision on the preliminary matter on the basis of the bundle as it currently stands. It was agreed that no or</w:t>
      </w:r>
      <w:r w:rsidR="00C91B49">
        <w:rPr>
          <w:rFonts w:ascii="Arial" w:hAnsi="Arial" w:cs="Arial"/>
        </w:rPr>
        <w:t xml:space="preserve">al evidence would be necessary. </w:t>
      </w:r>
      <w:r w:rsidR="006453B4">
        <w:rPr>
          <w:rFonts w:ascii="Arial" w:hAnsi="Arial" w:cs="Arial"/>
        </w:rPr>
        <w:t xml:space="preserve">I agree that this is an appropriate course of action. </w:t>
      </w:r>
      <w:r w:rsidR="00315B2C">
        <w:rPr>
          <w:rFonts w:ascii="Arial" w:hAnsi="Arial" w:cs="Arial"/>
        </w:rPr>
        <w:t>The bundle consists of 105 pages, numbered T001-028, C001-022 and RB</w:t>
      </w:r>
      <w:r w:rsidR="00C91B49">
        <w:rPr>
          <w:rFonts w:ascii="Arial" w:hAnsi="Arial" w:cs="Arial"/>
        </w:rPr>
        <w:t>001-</w:t>
      </w:r>
      <w:r w:rsidR="00315B2C">
        <w:rPr>
          <w:rFonts w:ascii="Arial" w:hAnsi="Arial" w:cs="Arial"/>
        </w:rPr>
        <w:t>051. I took full account of the material in the bundle in reaching my decision.</w:t>
      </w:r>
    </w:p>
    <w:p w14:paraId="5CBFE156" w14:textId="77777777" w:rsidR="006453B4" w:rsidRDefault="006453B4" w:rsidP="006453B4">
      <w:pPr>
        <w:pStyle w:val="ListParagraph"/>
        <w:ind w:left="360"/>
        <w:jc w:val="both"/>
        <w:rPr>
          <w:rFonts w:ascii="Arial" w:hAnsi="Arial" w:cs="Arial"/>
        </w:rPr>
      </w:pPr>
    </w:p>
    <w:p w14:paraId="48348D7D" w14:textId="77777777" w:rsidR="006453B4" w:rsidRDefault="006453B4" w:rsidP="007D087B">
      <w:pPr>
        <w:pStyle w:val="ListParagraph"/>
        <w:numPr>
          <w:ilvl w:val="0"/>
          <w:numId w:val="3"/>
        </w:numPr>
        <w:jc w:val="both"/>
        <w:rPr>
          <w:rFonts w:ascii="Arial" w:hAnsi="Arial" w:cs="Arial"/>
        </w:rPr>
      </w:pPr>
      <w:r>
        <w:rPr>
          <w:rFonts w:ascii="Arial" w:hAnsi="Arial" w:cs="Arial"/>
        </w:rPr>
        <w:t>The claimant argues that the test in rule 61(5) is met, for reasons explained below. The responsible body argues that it is not, since the claimant was aware of the incidents such that he could make a claim on time, and since he had time to seek and obtain legal advice on a possible claim.</w:t>
      </w:r>
    </w:p>
    <w:p w14:paraId="2324C7CF" w14:textId="77777777" w:rsidR="00A27D7A" w:rsidRDefault="00A27D7A" w:rsidP="00A27D7A">
      <w:pPr>
        <w:jc w:val="both"/>
        <w:rPr>
          <w:rFonts w:ascii="Arial" w:hAnsi="Arial" w:cs="Arial"/>
        </w:rPr>
      </w:pPr>
    </w:p>
    <w:p w14:paraId="55120A0B" w14:textId="77777777" w:rsidR="00A27D7A" w:rsidRPr="00740E93" w:rsidRDefault="00A27D7A" w:rsidP="00A27D7A">
      <w:pPr>
        <w:jc w:val="both"/>
        <w:rPr>
          <w:rFonts w:ascii="Arial" w:hAnsi="Arial" w:cs="Arial"/>
          <w:b/>
        </w:rPr>
      </w:pPr>
      <w:r w:rsidRPr="00152CDB">
        <w:rPr>
          <w:rFonts w:ascii="Arial" w:hAnsi="Arial" w:cs="Arial"/>
          <w:b/>
        </w:rPr>
        <w:t>Findings in Fact</w:t>
      </w:r>
    </w:p>
    <w:p w14:paraId="30182A87" w14:textId="77777777" w:rsidR="002B4705" w:rsidRPr="004D250A" w:rsidRDefault="002B4705" w:rsidP="002B4705">
      <w:pPr>
        <w:jc w:val="both"/>
        <w:rPr>
          <w:rFonts w:ascii="Arial" w:hAnsi="Arial" w:cs="Arial"/>
        </w:rPr>
      </w:pPr>
    </w:p>
    <w:p w14:paraId="2A24516A" w14:textId="77777777" w:rsidR="002B4705" w:rsidRDefault="004D250A" w:rsidP="002B4705">
      <w:pPr>
        <w:pStyle w:val="ListParagraph"/>
        <w:numPr>
          <w:ilvl w:val="0"/>
          <w:numId w:val="3"/>
        </w:numPr>
        <w:jc w:val="both"/>
        <w:rPr>
          <w:rFonts w:ascii="Arial" w:hAnsi="Arial" w:cs="Arial"/>
        </w:rPr>
      </w:pPr>
      <w:r w:rsidRPr="004D250A">
        <w:rPr>
          <w:rFonts w:ascii="Arial" w:hAnsi="Arial" w:cs="Arial"/>
        </w:rPr>
        <w:t>The</w:t>
      </w:r>
      <w:r w:rsidR="00315B2C">
        <w:rPr>
          <w:rFonts w:ascii="Arial" w:hAnsi="Arial" w:cs="Arial"/>
        </w:rPr>
        <w:t xml:space="preserve"> child has </w:t>
      </w:r>
      <w:r w:rsidR="00FB3933">
        <w:rPr>
          <w:rFonts w:ascii="Arial" w:hAnsi="Arial" w:cs="Arial"/>
        </w:rPr>
        <w:t>attention deficit hyperactivity disorder (‘</w:t>
      </w:r>
      <w:r w:rsidR="00FB3933" w:rsidRPr="00FB3933">
        <w:rPr>
          <w:rFonts w:ascii="Arial" w:hAnsi="Arial" w:cs="Arial"/>
          <w:b/>
        </w:rPr>
        <w:t>ADHD</w:t>
      </w:r>
      <w:r w:rsidR="00FB3933">
        <w:rPr>
          <w:rFonts w:ascii="Arial" w:hAnsi="Arial" w:cs="Arial"/>
        </w:rPr>
        <w:t>’)</w:t>
      </w:r>
      <w:r>
        <w:rPr>
          <w:rFonts w:ascii="Arial" w:hAnsi="Arial" w:cs="Arial"/>
        </w:rPr>
        <w:t>.</w:t>
      </w:r>
      <w:r w:rsidR="00FB3933">
        <w:rPr>
          <w:rFonts w:ascii="Arial" w:hAnsi="Arial" w:cs="Arial"/>
        </w:rPr>
        <w:t xml:space="preserve"> </w:t>
      </w:r>
      <w:r w:rsidR="00C91B49">
        <w:rPr>
          <w:rFonts w:ascii="Arial" w:hAnsi="Arial" w:cs="Arial"/>
        </w:rPr>
        <w:t xml:space="preserve">The claimant is the child’s father. The child was born </w:t>
      </w:r>
      <w:r w:rsidR="00E017AF">
        <w:rPr>
          <w:rFonts w:ascii="Arial" w:hAnsi="Arial" w:cs="Arial"/>
        </w:rPr>
        <w:t>in</w:t>
      </w:r>
      <w:r w:rsidR="00C91B49">
        <w:rPr>
          <w:rFonts w:ascii="Arial" w:hAnsi="Arial" w:cs="Arial"/>
        </w:rPr>
        <w:t xml:space="preserve"> July 2009.</w:t>
      </w:r>
    </w:p>
    <w:p w14:paraId="4E541737" w14:textId="77777777" w:rsidR="004D250A" w:rsidRDefault="004D250A" w:rsidP="004D250A">
      <w:pPr>
        <w:pStyle w:val="ListParagraph"/>
        <w:ind w:left="360"/>
        <w:jc w:val="both"/>
        <w:rPr>
          <w:rFonts w:ascii="Arial" w:hAnsi="Arial" w:cs="Arial"/>
        </w:rPr>
      </w:pPr>
    </w:p>
    <w:p w14:paraId="0B0B6C4E" w14:textId="77777777" w:rsidR="004D250A" w:rsidRDefault="00FB3933" w:rsidP="002B4705">
      <w:pPr>
        <w:pStyle w:val="ListParagraph"/>
        <w:numPr>
          <w:ilvl w:val="0"/>
          <w:numId w:val="3"/>
        </w:numPr>
        <w:jc w:val="both"/>
        <w:rPr>
          <w:rFonts w:ascii="Arial" w:hAnsi="Arial" w:cs="Arial"/>
        </w:rPr>
      </w:pPr>
      <w:r>
        <w:rPr>
          <w:rFonts w:ascii="Arial" w:hAnsi="Arial" w:cs="Arial"/>
        </w:rPr>
        <w:t xml:space="preserve">The claimant alleges that the child was physically handled by members of staff at the school he attended in </w:t>
      </w:r>
      <w:r w:rsidR="00303F2E">
        <w:rPr>
          <w:rFonts w:ascii="Arial" w:hAnsi="Arial" w:cs="Arial"/>
        </w:rPr>
        <w:t xml:space="preserve">a </w:t>
      </w:r>
      <w:r>
        <w:rPr>
          <w:rFonts w:ascii="Arial" w:hAnsi="Arial" w:cs="Arial"/>
        </w:rPr>
        <w:t>way which was discriminatory under the 2010 Act</w:t>
      </w:r>
      <w:r w:rsidR="004D250A">
        <w:rPr>
          <w:rFonts w:ascii="Arial" w:hAnsi="Arial" w:cs="Arial"/>
        </w:rPr>
        <w:t xml:space="preserve">. </w:t>
      </w:r>
      <w:r>
        <w:rPr>
          <w:rFonts w:ascii="Arial" w:hAnsi="Arial" w:cs="Arial"/>
        </w:rPr>
        <w:t xml:space="preserve">The claimant alleges that this happened on a number of occasions between </w:t>
      </w:r>
      <w:r w:rsidR="00A7664E">
        <w:rPr>
          <w:rFonts w:ascii="Arial" w:hAnsi="Arial" w:cs="Arial"/>
        </w:rPr>
        <w:t xml:space="preserve">24 August </w:t>
      </w:r>
      <w:r>
        <w:rPr>
          <w:rFonts w:ascii="Arial" w:hAnsi="Arial" w:cs="Arial"/>
        </w:rPr>
        <w:t xml:space="preserve">2020 and 9 </w:t>
      </w:r>
      <w:r>
        <w:rPr>
          <w:rFonts w:ascii="Arial" w:hAnsi="Arial" w:cs="Arial"/>
        </w:rPr>
        <w:lastRenderedPageBreak/>
        <w:t>November 2020.</w:t>
      </w:r>
      <w:r w:rsidR="00A7664E">
        <w:rPr>
          <w:rFonts w:ascii="Arial" w:hAnsi="Arial" w:cs="Arial"/>
        </w:rPr>
        <w:t xml:space="preserve"> The dates of these incidents alleged by the claimant are: 24 August, 2 September, 21 September (two incidents) and 24 September, all 2020.</w:t>
      </w:r>
    </w:p>
    <w:p w14:paraId="50469F36" w14:textId="77777777" w:rsidR="00FB3933" w:rsidRDefault="00FB3933" w:rsidP="00FB3933">
      <w:pPr>
        <w:pStyle w:val="ListParagraph"/>
        <w:ind w:left="360"/>
        <w:jc w:val="both"/>
        <w:rPr>
          <w:rFonts w:ascii="Arial" w:hAnsi="Arial" w:cs="Arial"/>
        </w:rPr>
      </w:pPr>
    </w:p>
    <w:p w14:paraId="4056C145" w14:textId="77777777" w:rsidR="00FB3933" w:rsidRDefault="00FB3933" w:rsidP="002B4705">
      <w:pPr>
        <w:pStyle w:val="ListParagraph"/>
        <w:numPr>
          <w:ilvl w:val="0"/>
          <w:numId w:val="3"/>
        </w:numPr>
        <w:jc w:val="both"/>
        <w:rPr>
          <w:rFonts w:ascii="Arial" w:hAnsi="Arial" w:cs="Arial"/>
        </w:rPr>
      </w:pPr>
      <w:r>
        <w:rPr>
          <w:rFonts w:ascii="Arial" w:hAnsi="Arial" w:cs="Arial"/>
        </w:rPr>
        <w:t xml:space="preserve">The claimant </w:t>
      </w:r>
      <w:r w:rsidR="00A7664E">
        <w:rPr>
          <w:rFonts w:ascii="Arial" w:hAnsi="Arial" w:cs="Arial"/>
        </w:rPr>
        <w:t xml:space="preserve">also </w:t>
      </w:r>
      <w:r>
        <w:rPr>
          <w:rFonts w:ascii="Arial" w:hAnsi="Arial" w:cs="Arial"/>
        </w:rPr>
        <w:t>alleges that the child was excluded from school on 28 September 2020 and that this exclusion was discriminatory under the 2010 Act.</w:t>
      </w:r>
    </w:p>
    <w:p w14:paraId="5B41480F" w14:textId="77777777" w:rsidR="0043751E" w:rsidRDefault="0043751E" w:rsidP="0043751E">
      <w:pPr>
        <w:pStyle w:val="ListParagraph"/>
        <w:ind w:left="360"/>
        <w:jc w:val="both"/>
        <w:rPr>
          <w:rFonts w:ascii="Arial" w:hAnsi="Arial" w:cs="Arial"/>
        </w:rPr>
      </w:pPr>
    </w:p>
    <w:p w14:paraId="7276590A" w14:textId="77777777" w:rsidR="004D250A" w:rsidRDefault="00343336" w:rsidP="002B4705">
      <w:pPr>
        <w:pStyle w:val="ListParagraph"/>
        <w:numPr>
          <w:ilvl w:val="0"/>
          <w:numId w:val="3"/>
        </w:numPr>
        <w:jc w:val="both"/>
        <w:rPr>
          <w:rFonts w:ascii="Arial" w:hAnsi="Arial" w:cs="Arial"/>
        </w:rPr>
      </w:pPr>
      <w:r>
        <w:rPr>
          <w:rFonts w:ascii="Arial" w:hAnsi="Arial" w:cs="Arial"/>
        </w:rPr>
        <w:t>Following the exclusion of the child</w:t>
      </w:r>
      <w:r w:rsidR="00C91B49">
        <w:rPr>
          <w:rFonts w:ascii="Arial" w:hAnsi="Arial" w:cs="Arial"/>
        </w:rPr>
        <w:t xml:space="preserve"> on 28 September 2020</w:t>
      </w:r>
      <w:r>
        <w:rPr>
          <w:rFonts w:ascii="Arial" w:hAnsi="Arial" w:cs="Arial"/>
        </w:rPr>
        <w:t xml:space="preserve">, the Head Teacher of the school wrote to the claimant (RB039-043) explaining the decision to exclude </w:t>
      </w:r>
      <w:r w:rsidR="00C91B49">
        <w:rPr>
          <w:rFonts w:ascii="Arial" w:hAnsi="Arial" w:cs="Arial"/>
        </w:rPr>
        <w:t>and explaining the claimant’s</w:t>
      </w:r>
      <w:r>
        <w:rPr>
          <w:rFonts w:ascii="Arial" w:hAnsi="Arial" w:cs="Arial"/>
        </w:rPr>
        <w:t xml:space="preserve"> right to appeal against the decision under s.28H of the Education (Scotland) Act 1980 (‘</w:t>
      </w:r>
      <w:r w:rsidRPr="00343336">
        <w:rPr>
          <w:rFonts w:ascii="Arial" w:hAnsi="Arial" w:cs="Arial"/>
          <w:b/>
        </w:rPr>
        <w:t>the 1980 Act</w:t>
      </w:r>
      <w:r>
        <w:rPr>
          <w:rFonts w:ascii="Arial" w:hAnsi="Arial" w:cs="Arial"/>
        </w:rPr>
        <w:t>’). The letter and the enclosures did not refer to a right to make a claim to this Tribunal.</w:t>
      </w:r>
    </w:p>
    <w:p w14:paraId="4142BC8F" w14:textId="77777777" w:rsidR="004E7851" w:rsidRDefault="004E7851" w:rsidP="004E7851">
      <w:pPr>
        <w:pStyle w:val="ListParagraph"/>
        <w:ind w:left="360"/>
        <w:jc w:val="both"/>
        <w:rPr>
          <w:rFonts w:ascii="Arial" w:hAnsi="Arial" w:cs="Arial"/>
        </w:rPr>
      </w:pPr>
    </w:p>
    <w:p w14:paraId="38489164" w14:textId="77777777" w:rsidR="000F594B" w:rsidRDefault="00E21F2A" w:rsidP="00A7664E">
      <w:pPr>
        <w:pStyle w:val="ListParagraph"/>
        <w:numPr>
          <w:ilvl w:val="0"/>
          <w:numId w:val="3"/>
        </w:numPr>
        <w:jc w:val="both"/>
        <w:rPr>
          <w:rFonts w:ascii="Arial" w:hAnsi="Arial" w:cs="Arial"/>
        </w:rPr>
      </w:pPr>
      <w:r>
        <w:rPr>
          <w:rFonts w:ascii="Arial" w:hAnsi="Arial" w:cs="Arial"/>
        </w:rPr>
        <w:t>T</w:t>
      </w:r>
      <w:r w:rsidR="00A60597">
        <w:rPr>
          <w:rFonts w:ascii="Arial" w:hAnsi="Arial" w:cs="Arial"/>
        </w:rPr>
        <w:t>h</w:t>
      </w:r>
      <w:r w:rsidR="00A53F9A">
        <w:rPr>
          <w:rFonts w:ascii="Arial" w:hAnsi="Arial" w:cs="Arial"/>
        </w:rPr>
        <w:t>e claimant appealed against the child’s exclusion from school</w:t>
      </w:r>
      <w:r w:rsidR="00A60597">
        <w:rPr>
          <w:rFonts w:ascii="Arial" w:hAnsi="Arial" w:cs="Arial"/>
        </w:rPr>
        <w:t xml:space="preserve"> to the Education Appeal Committee (‘</w:t>
      </w:r>
      <w:r w:rsidR="00A60597" w:rsidRPr="00A60597">
        <w:rPr>
          <w:rFonts w:ascii="Arial" w:hAnsi="Arial" w:cs="Arial"/>
          <w:b/>
        </w:rPr>
        <w:t>EAC</w:t>
      </w:r>
      <w:r w:rsidR="00A60597">
        <w:rPr>
          <w:rFonts w:ascii="Arial" w:hAnsi="Arial" w:cs="Arial"/>
        </w:rPr>
        <w:t>’) under s.28H of the 1980 Act. The hearing on that appeal took place in June 2021.</w:t>
      </w:r>
    </w:p>
    <w:p w14:paraId="52FE8231" w14:textId="77777777" w:rsidR="00A60597" w:rsidRDefault="00A60597" w:rsidP="00A60597">
      <w:pPr>
        <w:pStyle w:val="ListParagraph"/>
        <w:ind w:left="360"/>
        <w:jc w:val="both"/>
        <w:rPr>
          <w:rFonts w:ascii="Arial" w:hAnsi="Arial" w:cs="Arial"/>
        </w:rPr>
      </w:pPr>
    </w:p>
    <w:p w14:paraId="08D57BFA" w14:textId="77777777" w:rsidR="00A60597" w:rsidRDefault="00A60597" w:rsidP="00A7664E">
      <w:pPr>
        <w:pStyle w:val="ListParagraph"/>
        <w:numPr>
          <w:ilvl w:val="0"/>
          <w:numId w:val="3"/>
        </w:numPr>
        <w:jc w:val="both"/>
        <w:rPr>
          <w:rFonts w:ascii="Arial" w:hAnsi="Arial" w:cs="Arial"/>
        </w:rPr>
      </w:pPr>
      <w:r>
        <w:rPr>
          <w:rFonts w:ascii="Arial" w:hAnsi="Arial" w:cs="Arial"/>
        </w:rPr>
        <w:t>The claimant</w:t>
      </w:r>
      <w:r w:rsidR="00935634">
        <w:rPr>
          <w:rFonts w:ascii="Arial" w:hAnsi="Arial" w:cs="Arial"/>
        </w:rPr>
        <w:t>, as part of his preparations for the EAC appeal,</w:t>
      </w:r>
      <w:r>
        <w:rPr>
          <w:rFonts w:ascii="Arial" w:hAnsi="Arial" w:cs="Arial"/>
        </w:rPr>
        <w:t xml:space="preserve"> made a data subject access request to the responsible body. He received certain documents</w:t>
      </w:r>
      <w:r w:rsidR="006978AF">
        <w:rPr>
          <w:rFonts w:ascii="Arial" w:hAnsi="Arial" w:cs="Arial"/>
        </w:rPr>
        <w:t xml:space="preserve"> as</w:t>
      </w:r>
      <w:r w:rsidR="006453B4">
        <w:rPr>
          <w:rFonts w:ascii="Arial" w:hAnsi="Arial" w:cs="Arial"/>
        </w:rPr>
        <w:t xml:space="preserve"> a result of that request in </w:t>
      </w:r>
      <w:r w:rsidR="006978AF">
        <w:rPr>
          <w:rFonts w:ascii="Arial" w:hAnsi="Arial" w:cs="Arial"/>
        </w:rPr>
        <w:t>March 2021. These documents contained information about some of the incidents r</w:t>
      </w:r>
      <w:r w:rsidR="00935634">
        <w:rPr>
          <w:rFonts w:ascii="Arial" w:hAnsi="Arial" w:cs="Arial"/>
        </w:rPr>
        <w:t>eferred to in this claim</w:t>
      </w:r>
      <w:r w:rsidR="006978AF">
        <w:rPr>
          <w:rFonts w:ascii="Arial" w:hAnsi="Arial" w:cs="Arial"/>
        </w:rPr>
        <w:t>. Some of this information was not available to the claimant prior to receiving these documents.</w:t>
      </w:r>
    </w:p>
    <w:p w14:paraId="0101E810" w14:textId="77777777" w:rsidR="006E0FBE" w:rsidRDefault="006E0FBE" w:rsidP="006E0FBE">
      <w:pPr>
        <w:pStyle w:val="ListParagraph"/>
        <w:ind w:left="360"/>
        <w:jc w:val="both"/>
        <w:rPr>
          <w:rFonts w:ascii="Arial" w:hAnsi="Arial" w:cs="Arial"/>
        </w:rPr>
      </w:pPr>
    </w:p>
    <w:p w14:paraId="413050CE" w14:textId="77777777" w:rsidR="007D665B" w:rsidRDefault="006E0FBE" w:rsidP="00A7664E">
      <w:pPr>
        <w:pStyle w:val="ListParagraph"/>
        <w:numPr>
          <w:ilvl w:val="0"/>
          <w:numId w:val="3"/>
        </w:numPr>
        <w:jc w:val="both"/>
        <w:rPr>
          <w:rFonts w:ascii="Arial" w:hAnsi="Arial" w:cs="Arial"/>
        </w:rPr>
      </w:pPr>
      <w:r>
        <w:rPr>
          <w:rFonts w:ascii="Arial" w:hAnsi="Arial" w:cs="Arial"/>
        </w:rPr>
        <w:t>During the hearing on the claimant’</w:t>
      </w:r>
      <w:r w:rsidR="00935634">
        <w:rPr>
          <w:rFonts w:ascii="Arial" w:hAnsi="Arial" w:cs="Arial"/>
        </w:rPr>
        <w:t>s EAC appeal</w:t>
      </w:r>
      <w:r w:rsidR="007D665B">
        <w:rPr>
          <w:rFonts w:ascii="Arial" w:hAnsi="Arial" w:cs="Arial"/>
        </w:rPr>
        <w:t>, further information</w:t>
      </w:r>
      <w:r>
        <w:rPr>
          <w:rFonts w:ascii="Arial" w:hAnsi="Arial" w:cs="Arial"/>
        </w:rPr>
        <w:t xml:space="preserve"> relevant to the incidents the claimant refers to in </w:t>
      </w:r>
      <w:r w:rsidR="00935634">
        <w:rPr>
          <w:rFonts w:ascii="Arial" w:hAnsi="Arial" w:cs="Arial"/>
        </w:rPr>
        <w:t>t</w:t>
      </w:r>
      <w:r>
        <w:rPr>
          <w:rFonts w:ascii="Arial" w:hAnsi="Arial" w:cs="Arial"/>
        </w:rPr>
        <w:t>his claim came to his attention.</w:t>
      </w:r>
      <w:r w:rsidR="005F2FAF">
        <w:rPr>
          <w:rFonts w:ascii="Arial" w:hAnsi="Arial" w:cs="Arial"/>
        </w:rPr>
        <w:t xml:space="preserve"> </w:t>
      </w:r>
    </w:p>
    <w:p w14:paraId="7598C201" w14:textId="77777777" w:rsidR="007D665B" w:rsidRDefault="007D665B" w:rsidP="007D665B">
      <w:pPr>
        <w:pStyle w:val="ListParagraph"/>
        <w:ind w:left="360"/>
        <w:jc w:val="both"/>
        <w:rPr>
          <w:rFonts w:ascii="Arial" w:hAnsi="Arial" w:cs="Arial"/>
        </w:rPr>
      </w:pPr>
    </w:p>
    <w:p w14:paraId="00579D7F" w14:textId="77777777" w:rsidR="006E0FBE" w:rsidRDefault="007D665B" w:rsidP="00A7664E">
      <w:pPr>
        <w:pStyle w:val="ListParagraph"/>
        <w:numPr>
          <w:ilvl w:val="0"/>
          <w:numId w:val="3"/>
        </w:numPr>
        <w:jc w:val="both"/>
        <w:rPr>
          <w:rFonts w:ascii="Arial" w:hAnsi="Arial" w:cs="Arial"/>
        </w:rPr>
      </w:pPr>
      <w:r>
        <w:rPr>
          <w:rFonts w:ascii="Arial" w:hAnsi="Arial" w:cs="Arial"/>
        </w:rPr>
        <w:t>New information acquired by the claimant as a result of the dat</w:t>
      </w:r>
      <w:r w:rsidR="00935634">
        <w:rPr>
          <w:rFonts w:ascii="Arial" w:hAnsi="Arial" w:cs="Arial"/>
        </w:rPr>
        <w:t>a subject access request and his EAC appeal</w:t>
      </w:r>
      <w:r>
        <w:rPr>
          <w:rFonts w:ascii="Arial" w:hAnsi="Arial" w:cs="Arial"/>
        </w:rPr>
        <w:t xml:space="preserve"> included: information</w:t>
      </w:r>
      <w:r w:rsidR="00935634">
        <w:rPr>
          <w:rFonts w:ascii="Arial" w:hAnsi="Arial" w:cs="Arial"/>
        </w:rPr>
        <w:t xml:space="preserve"> about two incidents about</w:t>
      </w:r>
      <w:r w:rsidR="005F2FAF">
        <w:rPr>
          <w:rFonts w:ascii="Arial" w:hAnsi="Arial" w:cs="Arial"/>
        </w:rPr>
        <w:t xml:space="preserve"> which</w:t>
      </w:r>
      <w:r>
        <w:rPr>
          <w:rFonts w:ascii="Arial" w:hAnsi="Arial" w:cs="Arial"/>
        </w:rPr>
        <w:t xml:space="preserve"> the claimant had been previously unaware; additional information </w:t>
      </w:r>
      <w:r w:rsidR="005F2FAF">
        <w:rPr>
          <w:rFonts w:ascii="Arial" w:hAnsi="Arial" w:cs="Arial"/>
        </w:rPr>
        <w:t>around some of the incidents abo</w:t>
      </w:r>
      <w:r w:rsidR="00935634">
        <w:rPr>
          <w:rFonts w:ascii="Arial" w:hAnsi="Arial" w:cs="Arial"/>
        </w:rPr>
        <w:t>ut which the claimant had been</w:t>
      </w:r>
      <w:r>
        <w:rPr>
          <w:rFonts w:ascii="Arial" w:hAnsi="Arial" w:cs="Arial"/>
        </w:rPr>
        <w:t xml:space="preserve"> aware;</w:t>
      </w:r>
      <w:r w:rsidR="005F2FAF">
        <w:rPr>
          <w:rFonts w:ascii="Arial" w:hAnsi="Arial" w:cs="Arial"/>
        </w:rPr>
        <w:t xml:space="preserve"> </w:t>
      </w:r>
      <w:r>
        <w:rPr>
          <w:rFonts w:ascii="Arial" w:hAnsi="Arial" w:cs="Arial"/>
        </w:rPr>
        <w:t xml:space="preserve">information around </w:t>
      </w:r>
      <w:r w:rsidR="005F2FAF">
        <w:rPr>
          <w:rFonts w:ascii="Arial" w:hAnsi="Arial" w:cs="Arial"/>
        </w:rPr>
        <w:t>incident reporting</w:t>
      </w:r>
      <w:r w:rsidR="00935634">
        <w:rPr>
          <w:rFonts w:ascii="Arial" w:hAnsi="Arial" w:cs="Arial"/>
        </w:rPr>
        <w:t xml:space="preserve"> in the school</w:t>
      </w:r>
      <w:r w:rsidR="005F2FAF">
        <w:rPr>
          <w:rFonts w:ascii="Arial" w:hAnsi="Arial" w:cs="Arial"/>
        </w:rPr>
        <w:t xml:space="preserve"> and</w:t>
      </w:r>
      <w:r>
        <w:rPr>
          <w:rFonts w:ascii="Arial" w:hAnsi="Arial" w:cs="Arial"/>
        </w:rPr>
        <w:t xml:space="preserve"> information</w:t>
      </w:r>
      <w:r w:rsidR="005F2FAF">
        <w:rPr>
          <w:rFonts w:ascii="Arial" w:hAnsi="Arial" w:cs="Arial"/>
        </w:rPr>
        <w:t xml:space="preserve"> around</w:t>
      </w:r>
      <w:r w:rsidR="00935634">
        <w:rPr>
          <w:rFonts w:ascii="Arial" w:hAnsi="Arial" w:cs="Arial"/>
        </w:rPr>
        <w:t xml:space="preserve"> school</w:t>
      </w:r>
      <w:r w:rsidR="005F2FAF">
        <w:rPr>
          <w:rFonts w:ascii="Arial" w:hAnsi="Arial" w:cs="Arial"/>
        </w:rPr>
        <w:t xml:space="preserve"> staff training. </w:t>
      </w:r>
    </w:p>
    <w:p w14:paraId="3C41D1CD" w14:textId="77777777" w:rsidR="006E0FBE" w:rsidRDefault="006E0FBE" w:rsidP="006E0FBE">
      <w:pPr>
        <w:pStyle w:val="ListParagraph"/>
        <w:ind w:left="360"/>
        <w:jc w:val="both"/>
        <w:rPr>
          <w:rFonts w:ascii="Arial" w:hAnsi="Arial" w:cs="Arial"/>
        </w:rPr>
      </w:pPr>
    </w:p>
    <w:p w14:paraId="441A75F2" w14:textId="77777777" w:rsidR="006E0FBE" w:rsidRDefault="006E0FBE" w:rsidP="00A7664E">
      <w:pPr>
        <w:pStyle w:val="ListParagraph"/>
        <w:numPr>
          <w:ilvl w:val="0"/>
          <w:numId w:val="3"/>
        </w:numPr>
        <w:jc w:val="both"/>
        <w:rPr>
          <w:rFonts w:ascii="Arial" w:hAnsi="Arial" w:cs="Arial"/>
        </w:rPr>
      </w:pPr>
      <w:r>
        <w:rPr>
          <w:rFonts w:ascii="Arial" w:hAnsi="Arial" w:cs="Arial"/>
        </w:rPr>
        <w:t xml:space="preserve">Following the exclusion appeal hearing, on 13 June 2021, the claimant lodged a complaint with the responsible body about the incidents referred to in this claim. </w:t>
      </w:r>
    </w:p>
    <w:p w14:paraId="462BB049" w14:textId="77777777" w:rsidR="006E0FBE" w:rsidRDefault="006E0FBE" w:rsidP="006E0FBE">
      <w:pPr>
        <w:pStyle w:val="ListParagraph"/>
        <w:ind w:left="360"/>
        <w:jc w:val="both"/>
        <w:rPr>
          <w:rFonts w:ascii="Arial" w:hAnsi="Arial" w:cs="Arial"/>
        </w:rPr>
      </w:pPr>
    </w:p>
    <w:p w14:paraId="1516C587" w14:textId="77777777" w:rsidR="006E0FBE" w:rsidRDefault="006E0FBE" w:rsidP="00A7664E">
      <w:pPr>
        <w:pStyle w:val="ListParagraph"/>
        <w:numPr>
          <w:ilvl w:val="0"/>
          <w:numId w:val="3"/>
        </w:numPr>
        <w:jc w:val="both"/>
        <w:rPr>
          <w:rFonts w:ascii="Arial" w:hAnsi="Arial" w:cs="Arial"/>
        </w:rPr>
      </w:pPr>
      <w:r>
        <w:rPr>
          <w:rFonts w:ascii="Arial" w:hAnsi="Arial" w:cs="Arial"/>
        </w:rPr>
        <w:t xml:space="preserve">On 22 June 2021, the claimant received the minutes of the </w:t>
      </w:r>
      <w:r w:rsidR="00A53F9A">
        <w:rPr>
          <w:rFonts w:ascii="Arial" w:hAnsi="Arial" w:cs="Arial"/>
        </w:rPr>
        <w:t xml:space="preserve">EAC </w:t>
      </w:r>
      <w:r>
        <w:rPr>
          <w:rFonts w:ascii="Arial" w:hAnsi="Arial" w:cs="Arial"/>
        </w:rPr>
        <w:t xml:space="preserve">appeal hearing. </w:t>
      </w:r>
    </w:p>
    <w:p w14:paraId="25A479D3" w14:textId="77777777" w:rsidR="006E0FBE" w:rsidRDefault="006E0FBE" w:rsidP="006E0FBE">
      <w:pPr>
        <w:pStyle w:val="ListParagraph"/>
        <w:ind w:left="360"/>
        <w:jc w:val="both"/>
        <w:rPr>
          <w:rFonts w:ascii="Arial" w:hAnsi="Arial" w:cs="Arial"/>
        </w:rPr>
      </w:pPr>
    </w:p>
    <w:p w14:paraId="31E26CD1" w14:textId="3F4BFC89" w:rsidR="00935634" w:rsidRDefault="006E0FBE" w:rsidP="00A7664E">
      <w:pPr>
        <w:pStyle w:val="ListParagraph"/>
        <w:numPr>
          <w:ilvl w:val="0"/>
          <w:numId w:val="3"/>
        </w:numPr>
        <w:jc w:val="both"/>
        <w:rPr>
          <w:rFonts w:ascii="Arial" w:hAnsi="Arial" w:cs="Arial"/>
        </w:rPr>
      </w:pPr>
      <w:r>
        <w:rPr>
          <w:rFonts w:ascii="Arial" w:hAnsi="Arial" w:cs="Arial"/>
        </w:rPr>
        <w:t xml:space="preserve">After </w:t>
      </w:r>
      <w:r w:rsidR="005F2FAF">
        <w:rPr>
          <w:rFonts w:ascii="Arial" w:hAnsi="Arial" w:cs="Arial"/>
        </w:rPr>
        <w:t>receiving</w:t>
      </w:r>
      <w:r>
        <w:rPr>
          <w:rFonts w:ascii="Arial" w:hAnsi="Arial" w:cs="Arial"/>
        </w:rPr>
        <w:t xml:space="preserve"> these minutes,</w:t>
      </w:r>
      <w:r w:rsidR="005F2FAF">
        <w:rPr>
          <w:rFonts w:ascii="Arial" w:hAnsi="Arial" w:cs="Arial"/>
        </w:rPr>
        <w:t xml:space="preserve"> and motivated by information received from the</w:t>
      </w:r>
      <w:r w:rsidR="007D665B">
        <w:rPr>
          <w:rFonts w:ascii="Arial" w:hAnsi="Arial" w:cs="Arial"/>
        </w:rPr>
        <w:t xml:space="preserve"> subject data access request and the</w:t>
      </w:r>
      <w:r w:rsidR="005F2FAF">
        <w:rPr>
          <w:rFonts w:ascii="Arial" w:hAnsi="Arial" w:cs="Arial"/>
        </w:rPr>
        <w:t xml:space="preserve"> </w:t>
      </w:r>
      <w:r w:rsidR="00935634">
        <w:rPr>
          <w:rFonts w:ascii="Arial" w:hAnsi="Arial" w:cs="Arial"/>
        </w:rPr>
        <w:t xml:space="preserve">EAC </w:t>
      </w:r>
      <w:r w:rsidR="005F2FAF">
        <w:rPr>
          <w:rFonts w:ascii="Arial" w:hAnsi="Arial" w:cs="Arial"/>
        </w:rPr>
        <w:t>appeal process,</w:t>
      </w:r>
      <w:r>
        <w:rPr>
          <w:rFonts w:ascii="Arial" w:hAnsi="Arial" w:cs="Arial"/>
        </w:rPr>
        <w:t xml:space="preserve"> the </w:t>
      </w:r>
      <w:r w:rsidR="00935634">
        <w:rPr>
          <w:rFonts w:ascii="Arial" w:hAnsi="Arial" w:cs="Arial"/>
        </w:rPr>
        <w:t>claimant took advice from staff at the</w:t>
      </w:r>
      <w:r w:rsidR="005F2FAF">
        <w:rPr>
          <w:rFonts w:ascii="Arial" w:hAnsi="Arial" w:cs="Arial"/>
        </w:rPr>
        <w:t xml:space="preserve"> sheriff court clerk</w:t>
      </w:r>
      <w:r w:rsidR="00935634">
        <w:rPr>
          <w:rFonts w:ascii="Arial" w:hAnsi="Arial" w:cs="Arial"/>
        </w:rPr>
        <w:t xml:space="preserve">’s office. He </w:t>
      </w:r>
      <w:r w:rsidR="005F2FAF">
        <w:rPr>
          <w:rFonts w:ascii="Arial" w:hAnsi="Arial" w:cs="Arial"/>
        </w:rPr>
        <w:t xml:space="preserve">then approached and took advice from his current solicitors. </w:t>
      </w:r>
    </w:p>
    <w:p w14:paraId="56756D9C" w14:textId="77777777" w:rsidR="00935634" w:rsidRDefault="00935634" w:rsidP="00935634">
      <w:pPr>
        <w:pStyle w:val="ListParagraph"/>
        <w:ind w:left="360"/>
        <w:jc w:val="both"/>
        <w:rPr>
          <w:rFonts w:ascii="Arial" w:hAnsi="Arial" w:cs="Arial"/>
        </w:rPr>
      </w:pPr>
    </w:p>
    <w:p w14:paraId="71FAD1C9" w14:textId="3A53CBDD" w:rsidR="006E0FBE" w:rsidRDefault="004743FB" w:rsidP="00A7664E">
      <w:pPr>
        <w:pStyle w:val="ListParagraph"/>
        <w:numPr>
          <w:ilvl w:val="0"/>
          <w:numId w:val="3"/>
        </w:numPr>
        <w:jc w:val="both"/>
        <w:rPr>
          <w:rFonts w:ascii="Arial" w:hAnsi="Arial" w:cs="Arial"/>
        </w:rPr>
      </w:pPr>
      <w:r>
        <w:rPr>
          <w:rFonts w:ascii="Arial" w:hAnsi="Arial" w:cs="Arial"/>
        </w:rPr>
        <w:t xml:space="preserve">The first consultation between the claimant and </w:t>
      </w:r>
      <w:r w:rsidR="008E0303">
        <w:rPr>
          <w:rFonts w:ascii="Arial" w:hAnsi="Arial" w:cs="Arial"/>
        </w:rPr>
        <w:t xml:space="preserve">his current solicitors </w:t>
      </w:r>
      <w:r>
        <w:rPr>
          <w:rFonts w:ascii="Arial" w:hAnsi="Arial" w:cs="Arial"/>
        </w:rPr>
        <w:t>took place on 30 June 2021. That firm was formally instructed on 7 July 2021. This claim was lodged the following day.</w:t>
      </w:r>
    </w:p>
    <w:p w14:paraId="3E4EFD3D" w14:textId="77777777" w:rsidR="007D665B" w:rsidRDefault="007D665B" w:rsidP="007D665B">
      <w:pPr>
        <w:pStyle w:val="ListParagraph"/>
        <w:ind w:left="360"/>
        <w:jc w:val="both"/>
        <w:rPr>
          <w:rFonts w:ascii="Arial" w:hAnsi="Arial" w:cs="Arial"/>
        </w:rPr>
      </w:pPr>
    </w:p>
    <w:p w14:paraId="7755D251" w14:textId="77777777" w:rsidR="007D665B" w:rsidRDefault="007D665B" w:rsidP="00A7664E">
      <w:pPr>
        <w:pStyle w:val="ListParagraph"/>
        <w:numPr>
          <w:ilvl w:val="0"/>
          <w:numId w:val="3"/>
        </w:numPr>
        <w:jc w:val="both"/>
        <w:rPr>
          <w:rFonts w:ascii="Arial" w:hAnsi="Arial" w:cs="Arial"/>
        </w:rPr>
      </w:pPr>
      <w:r>
        <w:rPr>
          <w:rFonts w:ascii="Arial" w:hAnsi="Arial" w:cs="Arial"/>
        </w:rPr>
        <w:t>The claimant became aware in June 2021 that this Tribunal could consider claims based on exclusions from school</w:t>
      </w:r>
      <w:r w:rsidR="00935634">
        <w:rPr>
          <w:rFonts w:ascii="Arial" w:hAnsi="Arial" w:cs="Arial"/>
        </w:rPr>
        <w:t xml:space="preserve"> as well as claims based around </w:t>
      </w:r>
      <w:r w:rsidR="00E21F2A">
        <w:rPr>
          <w:rFonts w:ascii="Arial" w:hAnsi="Arial" w:cs="Arial"/>
        </w:rPr>
        <w:t>the physical handling of school pupils</w:t>
      </w:r>
      <w:r>
        <w:rPr>
          <w:rFonts w:ascii="Arial" w:hAnsi="Arial" w:cs="Arial"/>
        </w:rPr>
        <w:t xml:space="preserve">. </w:t>
      </w:r>
    </w:p>
    <w:p w14:paraId="3272605E" w14:textId="77777777" w:rsidR="00A60597" w:rsidRPr="00A60597" w:rsidRDefault="00A60597" w:rsidP="00A60597">
      <w:pPr>
        <w:jc w:val="both"/>
        <w:rPr>
          <w:rFonts w:ascii="Arial" w:hAnsi="Arial" w:cs="Arial"/>
        </w:rPr>
      </w:pPr>
    </w:p>
    <w:p w14:paraId="68E7C233" w14:textId="77777777" w:rsidR="008E0303" w:rsidRDefault="008E0303" w:rsidP="00711083">
      <w:pPr>
        <w:jc w:val="both"/>
        <w:rPr>
          <w:rFonts w:ascii="Arial" w:hAnsi="Arial" w:cs="Arial"/>
          <w:b/>
        </w:rPr>
      </w:pPr>
    </w:p>
    <w:p w14:paraId="1E120661" w14:textId="77777777" w:rsidR="008E0303" w:rsidRDefault="008E0303" w:rsidP="00711083">
      <w:pPr>
        <w:jc w:val="both"/>
        <w:rPr>
          <w:rFonts w:ascii="Arial" w:hAnsi="Arial" w:cs="Arial"/>
          <w:b/>
        </w:rPr>
      </w:pPr>
      <w:bookmarkStart w:id="0" w:name="_GoBack"/>
      <w:bookmarkEnd w:id="0"/>
    </w:p>
    <w:p w14:paraId="348B87A3" w14:textId="77777777" w:rsidR="005706D4" w:rsidRDefault="005706D4" w:rsidP="00711083">
      <w:pPr>
        <w:jc w:val="both"/>
        <w:rPr>
          <w:rFonts w:ascii="Arial" w:hAnsi="Arial" w:cs="Arial"/>
          <w:b/>
        </w:rPr>
      </w:pPr>
      <w:r w:rsidRPr="005706D4">
        <w:rPr>
          <w:rFonts w:ascii="Arial" w:hAnsi="Arial" w:cs="Arial"/>
          <w:b/>
        </w:rPr>
        <w:lastRenderedPageBreak/>
        <w:t>Reasons for decision</w:t>
      </w:r>
    </w:p>
    <w:p w14:paraId="67DF4E3B" w14:textId="77777777" w:rsidR="006D05F8" w:rsidRPr="006D05F8" w:rsidRDefault="006D05F8" w:rsidP="00711083">
      <w:pPr>
        <w:jc w:val="both"/>
        <w:rPr>
          <w:rFonts w:ascii="Arial" w:hAnsi="Arial" w:cs="Arial"/>
          <w:b/>
          <w:i/>
        </w:rPr>
      </w:pPr>
    </w:p>
    <w:p w14:paraId="7CC91B5A" w14:textId="77777777" w:rsidR="006D05F8" w:rsidRPr="00FA0529" w:rsidRDefault="00720451" w:rsidP="00711083">
      <w:pPr>
        <w:jc w:val="both"/>
        <w:rPr>
          <w:rFonts w:ascii="Arial" w:hAnsi="Arial" w:cs="Arial"/>
          <w:i/>
        </w:rPr>
      </w:pPr>
      <w:r>
        <w:rPr>
          <w:rFonts w:ascii="Arial" w:hAnsi="Arial" w:cs="Arial"/>
          <w:i/>
        </w:rPr>
        <w:t>Was the claim received out of time?</w:t>
      </w:r>
    </w:p>
    <w:p w14:paraId="4A2B3771" w14:textId="77777777" w:rsidR="005706D4" w:rsidRPr="00711083" w:rsidRDefault="005706D4" w:rsidP="00711083">
      <w:pPr>
        <w:jc w:val="both"/>
        <w:rPr>
          <w:rFonts w:ascii="Arial" w:hAnsi="Arial" w:cs="Arial"/>
        </w:rPr>
      </w:pPr>
    </w:p>
    <w:p w14:paraId="76FACBAE" w14:textId="3BC0A0CC" w:rsidR="0035232F" w:rsidRPr="00EF02B2" w:rsidRDefault="004743FB" w:rsidP="00511BD6">
      <w:pPr>
        <w:pStyle w:val="ListParagraph"/>
        <w:numPr>
          <w:ilvl w:val="0"/>
          <w:numId w:val="3"/>
        </w:numPr>
        <w:jc w:val="both"/>
        <w:rPr>
          <w:rFonts w:ascii="Arial" w:hAnsi="Arial" w:cs="Arial"/>
          <w:b/>
          <w:i/>
        </w:rPr>
      </w:pPr>
      <w:r>
        <w:rPr>
          <w:rFonts w:ascii="Arial" w:hAnsi="Arial" w:cs="Arial"/>
        </w:rPr>
        <w:t xml:space="preserve"> </w:t>
      </w:r>
      <w:r w:rsidR="00A13E35">
        <w:rPr>
          <w:rFonts w:ascii="Arial" w:hAnsi="Arial" w:cs="Arial"/>
        </w:rPr>
        <w:t xml:space="preserve">The </w:t>
      </w:r>
      <w:r w:rsidR="00880594">
        <w:rPr>
          <w:rFonts w:ascii="Arial" w:hAnsi="Arial" w:cs="Arial"/>
        </w:rPr>
        <w:t>claimant</w:t>
      </w:r>
      <w:r w:rsidR="008E0303">
        <w:rPr>
          <w:rFonts w:ascii="Arial" w:hAnsi="Arial" w:cs="Arial"/>
        </w:rPr>
        <w:t>’</w:t>
      </w:r>
      <w:r w:rsidR="00880594">
        <w:rPr>
          <w:rFonts w:ascii="Arial" w:hAnsi="Arial" w:cs="Arial"/>
        </w:rPr>
        <w:t>s</w:t>
      </w:r>
      <w:r w:rsidR="00A13E35">
        <w:rPr>
          <w:rFonts w:ascii="Arial" w:hAnsi="Arial" w:cs="Arial"/>
        </w:rPr>
        <w:t xml:space="preserve"> representative</w:t>
      </w:r>
      <w:r>
        <w:rPr>
          <w:rFonts w:ascii="Arial" w:hAnsi="Arial" w:cs="Arial"/>
        </w:rPr>
        <w:t xml:space="preserve"> conceded that the claim in respect of all of the incidents relied upon, has been lodged outwith t</w:t>
      </w:r>
      <w:r w:rsidR="00A53F9A">
        <w:rPr>
          <w:rFonts w:ascii="Arial" w:hAnsi="Arial" w:cs="Arial"/>
        </w:rPr>
        <w:t>he 6-</w:t>
      </w:r>
      <w:r>
        <w:rPr>
          <w:rFonts w:ascii="Arial" w:hAnsi="Arial" w:cs="Arial"/>
        </w:rPr>
        <w:t>month time limit</w:t>
      </w:r>
      <w:r w:rsidR="00A53F9A">
        <w:rPr>
          <w:rFonts w:ascii="Arial" w:hAnsi="Arial" w:cs="Arial"/>
        </w:rPr>
        <w:t xml:space="preserve"> in rule 61(4)</w:t>
      </w:r>
      <w:r>
        <w:rPr>
          <w:rFonts w:ascii="Arial" w:hAnsi="Arial" w:cs="Arial"/>
        </w:rPr>
        <w:t xml:space="preserve">. This would be the case even if </w:t>
      </w:r>
      <w:r w:rsidR="00A13E35">
        <w:rPr>
          <w:rFonts w:ascii="Arial" w:hAnsi="Arial" w:cs="Arial"/>
        </w:rPr>
        <w:t>the claimant</w:t>
      </w:r>
      <w:r w:rsidR="008E0303">
        <w:rPr>
          <w:rFonts w:ascii="Arial" w:hAnsi="Arial" w:cs="Arial"/>
        </w:rPr>
        <w:t>’</w:t>
      </w:r>
      <w:r w:rsidR="00A13E35">
        <w:rPr>
          <w:rFonts w:ascii="Arial" w:hAnsi="Arial" w:cs="Arial"/>
        </w:rPr>
        <w:t xml:space="preserve">s representative </w:t>
      </w:r>
      <w:r>
        <w:rPr>
          <w:rFonts w:ascii="Arial" w:hAnsi="Arial" w:cs="Arial"/>
        </w:rPr>
        <w:t xml:space="preserve">had persuaded me that there had existed ‘conduct extending over a period’ under rule 61(4) running from the first to the last incident. The last incident relied upon took place on 9 November 2020. Six months from that incident takes us to </w:t>
      </w:r>
      <w:r w:rsidR="005507BE">
        <w:rPr>
          <w:rFonts w:ascii="Arial" w:hAnsi="Arial" w:cs="Arial"/>
        </w:rPr>
        <w:t>9</w:t>
      </w:r>
      <w:r w:rsidR="00720451">
        <w:rPr>
          <w:rFonts w:ascii="Arial" w:hAnsi="Arial" w:cs="Arial"/>
        </w:rPr>
        <w:t xml:space="preserve"> May 2021, around two months before the claim was lodged.</w:t>
      </w:r>
    </w:p>
    <w:p w14:paraId="0E64C60E" w14:textId="77777777" w:rsidR="00EF02B2" w:rsidRPr="00EF02B2" w:rsidRDefault="00EF02B2" w:rsidP="00EF02B2">
      <w:pPr>
        <w:pStyle w:val="ListParagraph"/>
        <w:ind w:left="360"/>
        <w:jc w:val="both"/>
        <w:rPr>
          <w:rFonts w:ascii="Arial" w:hAnsi="Arial" w:cs="Arial"/>
          <w:b/>
          <w:i/>
        </w:rPr>
      </w:pPr>
    </w:p>
    <w:p w14:paraId="4B0EB3AB" w14:textId="77777777" w:rsidR="00C4362F" w:rsidRPr="001717B3" w:rsidRDefault="00EF02B2" w:rsidP="00720451">
      <w:pPr>
        <w:pStyle w:val="ListParagraph"/>
        <w:numPr>
          <w:ilvl w:val="0"/>
          <w:numId w:val="3"/>
        </w:numPr>
        <w:jc w:val="both"/>
        <w:rPr>
          <w:rFonts w:ascii="Arial" w:hAnsi="Arial" w:cs="Arial"/>
          <w:i/>
        </w:rPr>
      </w:pPr>
      <w:r>
        <w:rPr>
          <w:rFonts w:ascii="Arial" w:hAnsi="Arial" w:cs="Arial"/>
          <w:b/>
        </w:rPr>
        <w:t xml:space="preserve"> </w:t>
      </w:r>
      <w:r w:rsidR="00720451">
        <w:rPr>
          <w:rFonts w:ascii="Arial" w:hAnsi="Arial" w:cs="Arial"/>
        </w:rPr>
        <w:t xml:space="preserve">This means that the claim was received out of time and the only way the claim can be considered is if it is ‘just and equitable’ to do so under rule 61(5). </w:t>
      </w:r>
    </w:p>
    <w:p w14:paraId="0E0F83E3" w14:textId="77777777" w:rsidR="001717B3" w:rsidRPr="00FA0529" w:rsidRDefault="001717B3" w:rsidP="001717B3">
      <w:pPr>
        <w:jc w:val="both"/>
        <w:rPr>
          <w:rFonts w:ascii="Arial" w:hAnsi="Arial" w:cs="Arial"/>
          <w:i/>
        </w:rPr>
      </w:pPr>
    </w:p>
    <w:p w14:paraId="04434A00" w14:textId="77777777" w:rsidR="001717B3" w:rsidRPr="00C74F1D" w:rsidRDefault="00720451" w:rsidP="001717B3">
      <w:pPr>
        <w:jc w:val="both"/>
        <w:rPr>
          <w:rFonts w:ascii="Arial" w:hAnsi="Arial" w:cs="Arial"/>
          <w:i/>
        </w:rPr>
      </w:pPr>
      <w:r w:rsidRPr="00C74F1D">
        <w:rPr>
          <w:rFonts w:ascii="Arial" w:hAnsi="Arial" w:cs="Arial"/>
          <w:i/>
        </w:rPr>
        <w:t>Application of the ‘just and equitable’ test</w:t>
      </w:r>
    </w:p>
    <w:p w14:paraId="247A8DC3" w14:textId="77777777" w:rsidR="001717B3" w:rsidRPr="001717B3" w:rsidRDefault="001717B3" w:rsidP="001717B3">
      <w:pPr>
        <w:jc w:val="both"/>
        <w:rPr>
          <w:rFonts w:ascii="Arial" w:hAnsi="Arial" w:cs="Arial"/>
          <w:i/>
        </w:rPr>
      </w:pPr>
    </w:p>
    <w:p w14:paraId="0C9D2851" w14:textId="77777777" w:rsidR="001717B3" w:rsidRDefault="00720451" w:rsidP="00720451">
      <w:pPr>
        <w:pStyle w:val="ListParagraph"/>
        <w:numPr>
          <w:ilvl w:val="0"/>
          <w:numId w:val="3"/>
        </w:numPr>
        <w:jc w:val="both"/>
        <w:rPr>
          <w:rFonts w:ascii="Arial" w:hAnsi="Arial" w:cs="Arial"/>
        </w:rPr>
      </w:pPr>
      <w:r>
        <w:rPr>
          <w:rFonts w:ascii="Arial" w:hAnsi="Arial" w:cs="Arial"/>
        </w:rPr>
        <w:t xml:space="preserve">This test is used in a number of </w:t>
      </w:r>
      <w:r w:rsidR="005507BE">
        <w:rPr>
          <w:rFonts w:ascii="Arial" w:hAnsi="Arial" w:cs="Arial"/>
        </w:rPr>
        <w:t>T</w:t>
      </w:r>
      <w:r>
        <w:rPr>
          <w:rFonts w:ascii="Arial" w:hAnsi="Arial" w:cs="Arial"/>
        </w:rPr>
        <w:t>ribunal contexts when considering whether an out of time claim or application should nonetheless be considered. The test has generated a considerable body of judicial consideration.</w:t>
      </w:r>
    </w:p>
    <w:p w14:paraId="042060EE" w14:textId="77777777" w:rsidR="00720451" w:rsidRDefault="00720451" w:rsidP="00720451">
      <w:pPr>
        <w:pStyle w:val="ListParagraph"/>
        <w:ind w:left="360"/>
        <w:jc w:val="both"/>
        <w:rPr>
          <w:rFonts w:ascii="Arial" w:hAnsi="Arial" w:cs="Arial"/>
        </w:rPr>
      </w:pPr>
    </w:p>
    <w:p w14:paraId="69333219" w14:textId="77777777" w:rsidR="00720451" w:rsidRDefault="00720451" w:rsidP="00A663D0">
      <w:pPr>
        <w:pStyle w:val="ListParagraph"/>
        <w:numPr>
          <w:ilvl w:val="0"/>
          <w:numId w:val="3"/>
        </w:numPr>
        <w:jc w:val="both"/>
        <w:rPr>
          <w:rFonts w:ascii="Arial" w:hAnsi="Arial" w:cs="Arial"/>
        </w:rPr>
      </w:pPr>
      <w:r>
        <w:rPr>
          <w:rFonts w:ascii="Arial" w:hAnsi="Arial" w:cs="Arial"/>
        </w:rPr>
        <w:t xml:space="preserve">The only authority I was referred to in </w:t>
      </w:r>
      <w:r w:rsidR="001F64E3">
        <w:rPr>
          <w:rFonts w:ascii="Arial" w:hAnsi="Arial" w:cs="Arial"/>
        </w:rPr>
        <w:t xml:space="preserve">written </w:t>
      </w:r>
      <w:r>
        <w:rPr>
          <w:rFonts w:ascii="Arial" w:hAnsi="Arial" w:cs="Arial"/>
        </w:rPr>
        <w:t xml:space="preserve">submissions is the Court of Appeal decision in </w:t>
      </w:r>
      <w:r w:rsidR="00A663D0" w:rsidRPr="00A663D0">
        <w:rPr>
          <w:rFonts w:ascii="Arial" w:hAnsi="Arial" w:cs="Arial"/>
          <w:i/>
          <w:iCs/>
          <w:lang w:val="en-GB"/>
        </w:rPr>
        <w:t>Abertawe Bro Morgannwg University Local Health Board v Morgan</w:t>
      </w:r>
      <w:r w:rsidR="00A663D0" w:rsidRPr="00A663D0">
        <w:rPr>
          <w:rFonts w:ascii="Arial" w:hAnsi="Arial" w:cs="Arial"/>
          <w:i/>
        </w:rPr>
        <w:t xml:space="preserve"> </w:t>
      </w:r>
      <w:r w:rsidR="00A663D0">
        <w:rPr>
          <w:rFonts w:ascii="Arial" w:hAnsi="Arial" w:cs="Arial"/>
        </w:rPr>
        <w:t>[2018] EWCA Civ</w:t>
      </w:r>
      <w:r>
        <w:rPr>
          <w:rFonts w:ascii="Arial" w:hAnsi="Arial" w:cs="Arial"/>
        </w:rPr>
        <w:t xml:space="preserve"> 640. </w:t>
      </w:r>
      <w:r w:rsidR="00A663D0">
        <w:rPr>
          <w:rFonts w:ascii="Arial" w:hAnsi="Arial" w:cs="Arial"/>
        </w:rPr>
        <w:t>Given that this is a Court of Appeal decision on a similarly worded test</w:t>
      </w:r>
      <w:r w:rsidR="001F64E3">
        <w:rPr>
          <w:rFonts w:ascii="Arial" w:hAnsi="Arial" w:cs="Arial"/>
        </w:rPr>
        <w:t xml:space="preserve"> (under s.123(1) of the 2010 Act)</w:t>
      </w:r>
      <w:r w:rsidR="00A663D0">
        <w:rPr>
          <w:rFonts w:ascii="Arial" w:hAnsi="Arial" w:cs="Arial"/>
        </w:rPr>
        <w:t>, and given that it refers (with approval) to an earlier Supreme Court decision</w:t>
      </w:r>
      <w:r w:rsidR="00A663D0" w:rsidRPr="00A663D0">
        <w:t xml:space="preserve"> </w:t>
      </w:r>
      <w:r w:rsidR="00A663D0">
        <w:t>(</w:t>
      </w:r>
      <w:r w:rsidR="00A663D0">
        <w:rPr>
          <w:rFonts w:ascii="Arial" w:hAnsi="Arial" w:cs="Arial"/>
        </w:rPr>
        <w:t xml:space="preserve">namely </w:t>
      </w:r>
      <w:r w:rsidR="00A663D0" w:rsidRPr="00A663D0">
        <w:rPr>
          <w:rFonts w:ascii="Arial" w:hAnsi="Arial" w:cs="Arial"/>
          <w:i/>
        </w:rPr>
        <w:t>Rabone v Pennine Care NHS Trust</w:t>
      </w:r>
      <w:r w:rsidR="00A663D0" w:rsidRPr="00A663D0">
        <w:rPr>
          <w:rFonts w:ascii="Arial" w:hAnsi="Arial" w:cs="Arial"/>
        </w:rPr>
        <w:t xml:space="preserve"> [2012] UKSC 2</w:t>
      </w:r>
      <w:r w:rsidR="00A663D0">
        <w:rPr>
          <w:rFonts w:ascii="Arial" w:hAnsi="Arial" w:cs="Arial"/>
        </w:rPr>
        <w:t xml:space="preserve">), I regard this case as highly persuasive. </w:t>
      </w:r>
    </w:p>
    <w:p w14:paraId="6C15C64A" w14:textId="77777777" w:rsidR="001F64E3" w:rsidRDefault="001F64E3" w:rsidP="001F64E3">
      <w:pPr>
        <w:pStyle w:val="ListParagraph"/>
        <w:ind w:left="360"/>
        <w:jc w:val="both"/>
        <w:rPr>
          <w:rFonts w:ascii="Arial" w:hAnsi="Arial" w:cs="Arial"/>
        </w:rPr>
      </w:pPr>
    </w:p>
    <w:p w14:paraId="1A650397" w14:textId="77777777" w:rsidR="001F64E3" w:rsidRDefault="00A13E35" w:rsidP="00A663D0">
      <w:pPr>
        <w:pStyle w:val="ListParagraph"/>
        <w:numPr>
          <w:ilvl w:val="0"/>
          <w:numId w:val="3"/>
        </w:numPr>
        <w:jc w:val="both"/>
        <w:rPr>
          <w:rFonts w:ascii="Arial" w:hAnsi="Arial" w:cs="Arial"/>
        </w:rPr>
      </w:pPr>
      <w:r>
        <w:rPr>
          <w:rFonts w:ascii="Arial" w:hAnsi="Arial" w:cs="Arial"/>
        </w:rPr>
        <w:t>The claimant</w:t>
      </w:r>
      <w:r w:rsidR="005507BE">
        <w:rPr>
          <w:rFonts w:ascii="Arial" w:hAnsi="Arial" w:cs="Arial"/>
        </w:rPr>
        <w:t>’</w:t>
      </w:r>
      <w:r>
        <w:rPr>
          <w:rFonts w:ascii="Arial" w:hAnsi="Arial" w:cs="Arial"/>
        </w:rPr>
        <w:t>s representative</w:t>
      </w:r>
      <w:r w:rsidR="001F64E3">
        <w:rPr>
          <w:rFonts w:ascii="Arial" w:hAnsi="Arial" w:cs="Arial"/>
        </w:rPr>
        <w:t xml:space="preserve"> referred to the reference in </w:t>
      </w:r>
      <w:r w:rsidR="001F64E3" w:rsidRPr="001F64E3">
        <w:rPr>
          <w:rFonts w:ascii="Arial" w:hAnsi="Arial" w:cs="Arial"/>
          <w:i/>
        </w:rPr>
        <w:t xml:space="preserve">Abertawe </w:t>
      </w:r>
      <w:r w:rsidR="001F64E3">
        <w:rPr>
          <w:rFonts w:ascii="Arial" w:hAnsi="Arial" w:cs="Arial"/>
        </w:rPr>
        <w:t xml:space="preserve">to the ‘widest possible discretion’ (para 18 of the case) in applying the just and equitable test. He also pointed to the court’s statement in </w:t>
      </w:r>
      <w:r w:rsidR="001F64E3" w:rsidRPr="0013069A">
        <w:rPr>
          <w:rFonts w:ascii="Arial" w:hAnsi="Arial" w:cs="Arial"/>
          <w:i/>
        </w:rPr>
        <w:t>Abertawe</w:t>
      </w:r>
      <w:r w:rsidR="001F64E3">
        <w:rPr>
          <w:rFonts w:ascii="Arial" w:hAnsi="Arial" w:cs="Arial"/>
        </w:rPr>
        <w:t xml:space="preserve"> that the lack of a good reason for the delay in lodging a claim is not conclusive, but that </w:t>
      </w:r>
      <w:r w:rsidR="0013069A">
        <w:rPr>
          <w:rFonts w:ascii="Arial" w:hAnsi="Arial" w:cs="Arial"/>
        </w:rPr>
        <w:t xml:space="preserve">the presence or absence of a good reason is a factor to be taken into account (para 25 of the case). Finally, </w:t>
      </w:r>
      <w:r>
        <w:rPr>
          <w:rFonts w:ascii="Arial" w:hAnsi="Arial" w:cs="Arial"/>
        </w:rPr>
        <w:t>the claimant</w:t>
      </w:r>
      <w:r w:rsidR="005507BE">
        <w:rPr>
          <w:rFonts w:ascii="Arial" w:hAnsi="Arial" w:cs="Arial"/>
        </w:rPr>
        <w:t>’</w:t>
      </w:r>
      <w:r>
        <w:rPr>
          <w:rFonts w:ascii="Arial" w:hAnsi="Arial" w:cs="Arial"/>
        </w:rPr>
        <w:t>s representative</w:t>
      </w:r>
      <w:r w:rsidR="0013069A">
        <w:rPr>
          <w:rFonts w:ascii="Arial" w:hAnsi="Arial" w:cs="Arial"/>
        </w:rPr>
        <w:t xml:space="preserve"> highlighted the </w:t>
      </w:r>
      <w:r w:rsidR="0013069A" w:rsidRPr="0013069A">
        <w:rPr>
          <w:rFonts w:ascii="Arial" w:hAnsi="Arial" w:cs="Arial"/>
          <w:i/>
        </w:rPr>
        <w:t>Abertawe</w:t>
      </w:r>
      <w:r w:rsidR="0013069A">
        <w:rPr>
          <w:rFonts w:ascii="Arial" w:hAnsi="Arial" w:cs="Arial"/>
        </w:rPr>
        <w:t xml:space="preserve"> court’s non-exhaustive suggestions as to factors likely to be relevant</w:t>
      </w:r>
      <w:r w:rsidR="00A53F9A">
        <w:rPr>
          <w:rFonts w:ascii="Arial" w:hAnsi="Arial" w:cs="Arial"/>
        </w:rPr>
        <w:t xml:space="preserve"> to the test</w:t>
      </w:r>
      <w:r w:rsidR="0013069A">
        <w:rPr>
          <w:rFonts w:ascii="Arial" w:hAnsi="Arial" w:cs="Arial"/>
        </w:rPr>
        <w:t>, namely length of the</w:t>
      </w:r>
      <w:r w:rsidR="00A53F9A">
        <w:rPr>
          <w:rFonts w:ascii="Arial" w:hAnsi="Arial" w:cs="Arial"/>
        </w:rPr>
        <w:t xml:space="preserve"> delay, reasons for the delay</w:t>
      </w:r>
      <w:r w:rsidR="0013069A">
        <w:rPr>
          <w:rFonts w:ascii="Arial" w:hAnsi="Arial" w:cs="Arial"/>
        </w:rPr>
        <w:t xml:space="preserve"> and prejudice to the other party (para 19 of the case).</w:t>
      </w:r>
      <w:r w:rsidR="006F23E5">
        <w:rPr>
          <w:rFonts w:ascii="Arial" w:hAnsi="Arial" w:cs="Arial"/>
        </w:rPr>
        <w:t xml:space="preserve"> </w:t>
      </w:r>
    </w:p>
    <w:p w14:paraId="30477154" w14:textId="77777777" w:rsidR="0013069A" w:rsidRDefault="0013069A" w:rsidP="0013069A">
      <w:pPr>
        <w:pStyle w:val="ListParagraph"/>
        <w:ind w:left="360"/>
        <w:jc w:val="both"/>
        <w:rPr>
          <w:rFonts w:ascii="Arial" w:hAnsi="Arial" w:cs="Arial"/>
        </w:rPr>
      </w:pPr>
    </w:p>
    <w:p w14:paraId="3FD36334" w14:textId="77777777" w:rsidR="0013069A" w:rsidRDefault="0013069A" w:rsidP="00A663D0">
      <w:pPr>
        <w:pStyle w:val="ListParagraph"/>
        <w:numPr>
          <w:ilvl w:val="0"/>
          <w:numId w:val="3"/>
        </w:numPr>
        <w:jc w:val="both"/>
        <w:rPr>
          <w:rFonts w:ascii="Arial" w:hAnsi="Arial" w:cs="Arial"/>
        </w:rPr>
      </w:pPr>
      <w:r>
        <w:rPr>
          <w:rFonts w:ascii="Arial" w:hAnsi="Arial" w:cs="Arial"/>
        </w:rPr>
        <w:t xml:space="preserve">Applying all of this to the facts here, I am left in no doubt that I should exercise my discretion in favour of the claimant. </w:t>
      </w:r>
    </w:p>
    <w:p w14:paraId="2B91AADE" w14:textId="77777777" w:rsidR="0013069A" w:rsidRDefault="0013069A" w:rsidP="0013069A">
      <w:pPr>
        <w:pStyle w:val="ListParagraph"/>
        <w:ind w:left="360"/>
        <w:jc w:val="both"/>
        <w:rPr>
          <w:rFonts w:ascii="Arial" w:hAnsi="Arial" w:cs="Arial"/>
        </w:rPr>
      </w:pPr>
    </w:p>
    <w:p w14:paraId="0E54CC7C" w14:textId="77777777" w:rsidR="0013069A" w:rsidRDefault="0013069A" w:rsidP="00A663D0">
      <w:pPr>
        <w:pStyle w:val="ListParagraph"/>
        <w:numPr>
          <w:ilvl w:val="0"/>
          <w:numId w:val="3"/>
        </w:numPr>
        <w:jc w:val="both"/>
        <w:rPr>
          <w:rFonts w:ascii="Arial" w:hAnsi="Arial" w:cs="Arial"/>
        </w:rPr>
      </w:pPr>
      <w:r w:rsidRPr="006F23E5">
        <w:rPr>
          <w:rFonts w:ascii="Arial" w:hAnsi="Arial" w:cs="Arial"/>
          <w:b/>
        </w:rPr>
        <w:t>Firstly</w:t>
      </w:r>
      <w:r>
        <w:rPr>
          <w:rFonts w:ascii="Arial" w:hAnsi="Arial" w:cs="Arial"/>
        </w:rPr>
        <w:t>, the delay in presenting this claim is not</w:t>
      </w:r>
      <w:r w:rsidR="00056E9F">
        <w:rPr>
          <w:rFonts w:ascii="Arial" w:hAnsi="Arial" w:cs="Arial"/>
        </w:rPr>
        <w:t>, in itself,</w:t>
      </w:r>
      <w:r>
        <w:rPr>
          <w:rFonts w:ascii="Arial" w:hAnsi="Arial" w:cs="Arial"/>
        </w:rPr>
        <w:t xml:space="preserve"> significant</w:t>
      </w:r>
      <w:r w:rsidR="00056E9F">
        <w:rPr>
          <w:rFonts w:ascii="Arial" w:hAnsi="Arial" w:cs="Arial"/>
        </w:rPr>
        <w:t xml:space="preserve">, especially given the contemporaneous written information available about the various incidents (this is discussed further below). </w:t>
      </w:r>
      <w:r>
        <w:rPr>
          <w:rFonts w:ascii="Arial" w:hAnsi="Arial" w:cs="Arial"/>
        </w:rPr>
        <w:t>Had I taken the view that the conduct represented ‘conduct extending over a period’ under rule 61(4)</w:t>
      </w:r>
      <w:r w:rsidR="00300B8E">
        <w:rPr>
          <w:rFonts w:ascii="Arial" w:hAnsi="Arial" w:cs="Arial"/>
        </w:rPr>
        <w:t xml:space="preserve">, the claim would only have been two months late. Even had I not taken that view (and I do not take a view either way as it is not necessary to do so), the claim in respect of the earliest incident would have been five months late, that period reducing with each subsequent incident. </w:t>
      </w:r>
    </w:p>
    <w:p w14:paraId="66356F9C" w14:textId="77777777" w:rsidR="00300B8E" w:rsidRDefault="00300B8E" w:rsidP="00300B8E">
      <w:pPr>
        <w:pStyle w:val="ListParagraph"/>
        <w:ind w:left="360"/>
        <w:jc w:val="both"/>
        <w:rPr>
          <w:rFonts w:ascii="Arial" w:hAnsi="Arial" w:cs="Arial"/>
        </w:rPr>
      </w:pPr>
    </w:p>
    <w:p w14:paraId="2B07A737" w14:textId="77777777" w:rsidR="00300B8E" w:rsidRDefault="00300B8E" w:rsidP="00A663D0">
      <w:pPr>
        <w:pStyle w:val="ListParagraph"/>
        <w:numPr>
          <w:ilvl w:val="0"/>
          <w:numId w:val="3"/>
        </w:numPr>
        <w:jc w:val="both"/>
        <w:rPr>
          <w:rFonts w:ascii="Arial" w:hAnsi="Arial" w:cs="Arial"/>
        </w:rPr>
      </w:pPr>
      <w:r w:rsidRPr="006F23E5">
        <w:rPr>
          <w:rFonts w:ascii="Arial" w:hAnsi="Arial" w:cs="Arial"/>
          <w:b/>
        </w:rPr>
        <w:t>Secondly</w:t>
      </w:r>
      <w:r>
        <w:rPr>
          <w:rFonts w:ascii="Arial" w:hAnsi="Arial" w:cs="Arial"/>
        </w:rPr>
        <w:t xml:space="preserve">, the </w:t>
      </w:r>
      <w:r w:rsidR="00056E9F">
        <w:rPr>
          <w:rFonts w:ascii="Arial" w:hAnsi="Arial" w:cs="Arial"/>
        </w:rPr>
        <w:t xml:space="preserve">claimant has provided good reasons for the delay. It is clear that the claimant was concentrating on the exclusion of the child, and that he pursued that matter through the EAC process. The letter which explained the exclusion and the right to appeal against it did not refer to a right to pursue a claim to this Tribunal. The claimant </w:t>
      </w:r>
      <w:r w:rsidR="00056E9F">
        <w:rPr>
          <w:rFonts w:ascii="Arial" w:hAnsi="Arial" w:cs="Arial"/>
        </w:rPr>
        <w:lastRenderedPageBreak/>
        <w:t xml:space="preserve">only learned about that right much later, on taking legal advice in June 2021. In my view, no fault can attach to the claimant here. He is not legally qualified. He is entitled to rely on information provided by the responsible body about appeal rights, and assume that that information is full and complete. Once he became aware of the right to pursue a case to this Tribunal, he did so very quickly. </w:t>
      </w:r>
    </w:p>
    <w:p w14:paraId="5FA69FE7" w14:textId="77777777" w:rsidR="00056E9F" w:rsidRDefault="00056E9F" w:rsidP="00056E9F">
      <w:pPr>
        <w:pStyle w:val="ListParagraph"/>
        <w:ind w:left="360"/>
        <w:jc w:val="both"/>
        <w:rPr>
          <w:rFonts w:ascii="Arial" w:hAnsi="Arial" w:cs="Arial"/>
        </w:rPr>
      </w:pPr>
    </w:p>
    <w:p w14:paraId="1651403B" w14:textId="77777777" w:rsidR="00056E9F" w:rsidRDefault="00056E9F" w:rsidP="00A663D0">
      <w:pPr>
        <w:pStyle w:val="ListParagraph"/>
        <w:numPr>
          <w:ilvl w:val="0"/>
          <w:numId w:val="3"/>
        </w:numPr>
        <w:jc w:val="both"/>
        <w:rPr>
          <w:rFonts w:ascii="Arial" w:hAnsi="Arial" w:cs="Arial"/>
        </w:rPr>
      </w:pPr>
      <w:r>
        <w:rPr>
          <w:rFonts w:ascii="Arial" w:hAnsi="Arial" w:cs="Arial"/>
        </w:rPr>
        <w:t>It could be said that these reasons</w:t>
      </w:r>
      <w:r w:rsidR="00C74F1D">
        <w:rPr>
          <w:rFonts w:ascii="Arial" w:hAnsi="Arial" w:cs="Arial"/>
        </w:rPr>
        <w:t xml:space="preserve"> for the delay</w:t>
      </w:r>
      <w:r>
        <w:rPr>
          <w:rFonts w:ascii="Arial" w:hAnsi="Arial" w:cs="Arial"/>
        </w:rPr>
        <w:t xml:space="preserve"> relate only to the part of this claim concerning the child’s exclusion. However, the matter is not as simple as that. The evidence (which is not disputed) suggests that as a result of the EAC appeal, and a prior data subject request</w:t>
      </w:r>
      <w:r w:rsidR="0032531E">
        <w:rPr>
          <w:rFonts w:ascii="Arial" w:hAnsi="Arial" w:cs="Arial"/>
        </w:rPr>
        <w:t xml:space="preserve"> (which was made in connection with the EAC process), information about so</w:t>
      </w:r>
      <w:r w:rsidR="00C74F1D">
        <w:rPr>
          <w:rFonts w:ascii="Arial" w:hAnsi="Arial" w:cs="Arial"/>
        </w:rPr>
        <w:t>me of the incidents relied</w:t>
      </w:r>
      <w:r w:rsidR="0032531E">
        <w:rPr>
          <w:rFonts w:ascii="Arial" w:hAnsi="Arial" w:cs="Arial"/>
        </w:rPr>
        <w:t xml:space="preserve"> upon in this claim came to light. The claimant has explained what that further information</w:t>
      </w:r>
      <w:r w:rsidR="006453B4">
        <w:rPr>
          <w:rFonts w:ascii="Arial" w:hAnsi="Arial" w:cs="Arial"/>
        </w:rPr>
        <w:t xml:space="preserve"> was (see the finding in para 14</w:t>
      </w:r>
      <w:r w:rsidR="0032531E">
        <w:rPr>
          <w:rFonts w:ascii="Arial" w:hAnsi="Arial" w:cs="Arial"/>
        </w:rPr>
        <w:t xml:space="preserve"> above). It seems to me that this information is relevant to the claim now made. The claimant’s explanation indicates that he became concerned about how the child had been handled more generally (not just in the exclusion) as a result of this further information. These more general concerns appear to have motivated both the internal complaint to the responsible body, as well as seeking advice from the sheriff clerk and then </w:t>
      </w:r>
      <w:r w:rsidR="00880594">
        <w:rPr>
          <w:rFonts w:ascii="Arial" w:hAnsi="Arial" w:cs="Arial"/>
        </w:rPr>
        <w:t>legal representation.</w:t>
      </w:r>
      <w:r w:rsidR="0032531E">
        <w:rPr>
          <w:rFonts w:ascii="Arial" w:hAnsi="Arial" w:cs="Arial"/>
        </w:rPr>
        <w:t xml:space="preserve"> That additional information only became available </w:t>
      </w:r>
      <w:r w:rsidR="007871EB">
        <w:rPr>
          <w:rFonts w:ascii="Arial" w:hAnsi="Arial" w:cs="Arial"/>
        </w:rPr>
        <w:t>in March and then June</w:t>
      </w:r>
      <w:r w:rsidR="00C74F1D">
        <w:rPr>
          <w:rFonts w:ascii="Arial" w:hAnsi="Arial" w:cs="Arial"/>
        </w:rPr>
        <w:t>, both 2021</w:t>
      </w:r>
      <w:r w:rsidR="006F23E5">
        <w:rPr>
          <w:rFonts w:ascii="Arial" w:hAnsi="Arial" w:cs="Arial"/>
        </w:rPr>
        <w:t xml:space="preserve">. </w:t>
      </w:r>
      <w:r w:rsidR="007871EB">
        <w:rPr>
          <w:rFonts w:ascii="Arial" w:hAnsi="Arial" w:cs="Arial"/>
        </w:rPr>
        <w:t>21 June is mentioned</w:t>
      </w:r>
      <w:r w:rsidR="00C74F1D">
        <w:rPr>
          <w:rFonts w:ascii="Arial" w:hAnsi="Arial" w:cs="Arial"/>
        </w:rPr>
        <w:t xml:space="preserve"> in connection with</w:t>
      </w:r>
      <w:r w:rsidR="006F23E5">
        <w:rPr>
          <w:rFonts w:ascii="Arial" w:hAnsi="Arial" w:cs="Arial"/>
        </w:rPr>
        <w:t xml:space="preserve"> the claimant’s receipt of</w:t>
      </w:r>
      <w:r w:rsidR="00C74F1D">
        <w:rPr>
          <w:rFonts w:ascii="Arial" w:hAnsi="Arial" w:cs="Arial"/>
        </w:rPr>
        <w:t xml:space="preserve"> the EAC appeal hearing minutes</w:t>
      </w:r>
      <w:r w:rsidR="007871EB">
        <w:rPr>
          <w:rFonts w:ascii="Arial" w:hAnsi="Arial" w:cs="Arial"/>
        </w:rPr>
        <w:t>. This claim was made only three weeks later.</w:t>
      </w:r>
    </w:p>
    <w:p w14:paraId="4619CCB5" w14:textId="77777777" w:rsidR="007871EB" w:rsidRDefault="007871EB" w:rsidP="007871EB">
      <w:pPr>
        <w:pStyle w:val="ListParagraph"/>
        <w:ind w:left="360"/>
        <w:jc w:val="both"/>
        <w:rPr>
          <w:rFonts w:ascii="Arial" w:hAnsi="Arial" w:cs="Arial"/>
        </w:rPr>
      </w:pPr>
    </w:p>
    <w:p w14:paraId="66CF1B36" w14:textId="77777777" w:rsidR="007871EB" w:rsidRDefault="007871EB" w:rsidP="00A663D0">
      <w:pPr>
        <w:pStyle w:val="ListParagraph"/>
        <w:numPr>
          <w:ilvl w:val="0"/>
          <w:numId w:val="3"/>
        </w:numPr>
        <w:jc w:val="both"/>
        <w:rPr>
          <w:rFonts w:ascii="Arial" w:hAnsi="Arial" w:cs="Arial"/>
        </w:rPr>
      </w:pPr>
      <w:r>
        <w:rPr>
          <w:rFonts w:ascii="Arial" w:hAnsi="Arial" w:cs="Arial"/>
        </w:rPr>
        <w:t>In my view, the claimant’s understanding of his rights and the new information explain why the claim was made in July, as opposed to in the Spring or early summer of 2021 (when the claim may well have been on time</w:t>
      </w:r>
      <w:r w:rsidR="00C74F1D">
        <w:rPr>
          <w:rFonts w:ascii="Arial" w:hAnsi="Arial" w:cs="Arial"/>
        </w:rPr>
        <w:t>, at least in part</w:t>
      </w:r>
      <w:r>
        <w:rPr>
          <w:rFonts w:ascii="Arial" w:hAnsi="Arial" w:cs="Arial"/>
        </w:rPr>
        <w:t>).</w:t>
      </w:r>
    </w:p>
    <w:p w14:paraId="3253D031" w14:textId="77777777" w:rsidR="007871EB" w:rsidRDefault="007871EB" w:rsidP="007871EB">
      <w:pPr>
        <w:pStyle w:val="ListParagraph"/>
        <w:ind w:left="360"/>
        <w:jc w:val="both"/>
        <w:rPr>
          <w:rFonts w:ascii="Arial" w:hAnsi="Arial" w:cs="Arial"/>
        </w:rPr>
      </w:pPr>
    </w:p>
    <w:p w14:paraId="5466BF04" w14:textId="77777777" w:rsidR="00C74F1D" w:rsidRDefault="007871EB" w:rsidP="00A663D0">
      <w:pPr>
        <w:pStyle w:val="ListParagraph"/>
        <w:numPr>
          <w:ilvl w:val="0"/>
          <w:numId w:val="3"/>
        </w:numPr>
        <w:jc w:val="both"/>
        <w:rPr>
          <w:rFonts w:ascii="Arial" w:hAnsi="Arial" w:cs="Arial"/>
        </w:rPr>
      </w:pPr>
      <w:r w:rsidRPr="006F23E5">
        <w:rPr>
          <w:rFonts w:ascii="Arial" w:hAnsi="Arial" w:cs="Arial"/>
          <w:b/>
        </w:rPr>
        <w:t>Thirdly</w:t>
      </w:r>
      <w:r>
        <w:rPr>
          <w:rFonts w:ascii="Arial" w:hAnsi="Arial" w:cs="Arial"/>
        </w:rPr>
        <w:t xml:space="preserve">, there is no practical prejudice caused to the responsible body by the claim being considered, albeit late. In </w:t>
      </w:r>
      <w:r w:rsidRPr="007871EB">
        <w:rPr>
          <w:rFonts w:ascii="Arial" w:hAnsi="Arial" w:cs="Arial"/>
          <w:i/>
        </w:rPr>
        <w:t>Abertawe</w:t>
      </w:r>
      <w:r>
        <w:rPr>
          <w:rFonts w:ascii="Arial" w:hAnsi="Arial" w:cs="Arial"/>
        </w:rPr>
        <w:t xml:space="preserve">, the Court of Appeal give as an example of prejudice the hindering of investigating a claim while matters are fresh. </w:t>
      </w:r>
      <w:r w:rsidR="00CE4834">
        <w:rPr>
          <w:rFonts w:ascii="Arial" w:hAnsi="Arial" w:cs="Arial"/>
        </w:rPr>
        <w:t xml:space="preserve">While this is only an </w:t>
      </w:r>
      <w:r w:rsidR="00C74F1D">
        <w:rPr>
          <w:rFonts w:ascii="Arial" w:hAnsi="Arial" w:cs="Arial"/>
        </w:rPr>
        <w:t>example</w:t>
      </w:r>
      <w:r w:rsidR="00CE4834">
        <w:rPr>
          <w:rFonts w:ascii="Arial" w:hAnsi="Arial" w:cs="Arial"/>
        </w:rPr>
        <w:t xml:space="preserve"> of how prejudice can occur, it is significant that this is the example provided by the court; in my view, it represents the main form of prejudice which delay can cause. </w:t>
      </w:r>
    </w:p>
    <w:p w14:paraId="04BAE6C8" w14:textId="77777777" w:rsidR="00C74F1D" w:rsidRDefault="00C74F1D" w:rsidP="00C74F1D">
      <w:pPr>
        <w:pStyle w:val="ListParagraph"/>
        <w:ind w:left="360"/>
        <w:jc w:val="both"/>
        <w:rPr>
          <w:rFonts w:ascii="Arial" w:hAnsi="Arial" w:cs="Arial"/>
        </w:rPr>
      </w:pPr>
    </w:p>
    <w:p w14:paraId="11343078" w14:textId="77777777" w:rsidR="007871EB" w:rsidRDefault="00880594" w:rsidP="00A663D0">
      <w:pPr>
        <w:pStyle w:val="ListParagraph"/>
        <w:numPr>
          <w:ilvl w:val="0"/>
          <w:numId w:val="3"/>
        </w:numPr>
        <w:jc w:val="both"/>
        <w:rPr>
          <w:rFonts w:ascii="Arial" w:hAnsi="Arial" w:cs="Arial"/>
        </w:rPr>
      </w:pPr>
      <w:r>
        <w:rPr>
          <w:rFonts w:ascii="Arial" w:hAnsi="Arial" w:cs="Arial"/>
        </w:rPr>
        <w:t>The r</w:t>
      </w:r>
      <w:r w:rsidR="00631EFC">
        <w:rPr>
          <w:rFonts w:ascii="Arial" w:hAnsi="Arial" w:cs="Arial"/>
        </w:rPr>
        <w:t>esponsible body’s representative</w:t>
      </w:r>
      <w:r w:rsidR="00CE4834">
        <w:rPr>
          <w:rFonts w:ascii="Arial" w:hAnsi="Arial" w:cs="Arial"/>
        </w:rPr>
        <w:t xml:space="preserve"> was very clear in her view that there is no practical prejudice to the responsible body if the claim is considered, despite it being received late. She accepted that there are a number of contemporaneous written accounts of many (if not all) of the incidents relied upon. Some are provided in the bundle. Given this, although memories may have faded due to the passage of time, the responsible body’s case will not, in any meaningful sense, be hindered in comparison with the position had the claim been lodged on the last day of the 6 month time limit. </w:t>
      </w:r>
    </w:p>
    <w:p w14:paraId="1A342CB6" w14:textId="77777777" w:rsidR="00CE4834" w:rsidRDefault="00CE4834" w:rsidP="00CE4834">
      <w:pPr>
        <w:pStyle w:val="ListParagraph"/>
        <w:ind w:left="360"/>
        <w:jc w:val="both"/>
        <w:rPr>
          <w:rFonts w:ascii="Arial" w:hAnsi="Arial" w:cs="Arial"/>
        </w:rPr>
      </w:pPr>
    </w:p>
    <w:p w14:paraId="5EA3EFAC" w14:textId="77777777" w:rsidR="00CE4834" w:rsidRDefault="00CE4834" w:rsidP="00A663D0">
      <w:pPr>
        <w:pStyle w:val="ListParagraph"/>
        <w:numPr>
          <w:ilvl w:val="0"/>
          <w:numId w:val="3"/>
        </w:numPr>
        <w:jc w:val="both"/>
        <w:rPr>
          <w:rFonts w:ascii="Arial" w:hAnsi="Arial" w:cs="Arial"/>
        </w:rPr>
      </w:pPr>
      <w:r>
        <w:rPr>
          <w:rFonts w:ascii="Arial" w:hAnsi="Arial" w:cs="Arial"/>
        </w:rPr>
        <w:t>I should add that I accept (and take account of) the inherent prejudice suffered by the other party where one party is allowed to</w:t>
      </w:r>
      <w:r w:rsidR="00C74F1D">
        <w:rPr>
          <w:rFonts w:ascii="Arial" w:hAnsi="Arial" w:cs="Arial"/>
        </w:rPr>
        <w:t xml:space="preserve"> have its claim received late. T</w:t>
      </w:r>
      <w:r>
        <w:rPr>
          <w:rFonts w:ascii="Arial" w:hAnsi="Arial" w:cs="Arial"/>
        </w:rPr>
        <w:t xml:space="preserve">here is a </w:t>
      </w:r>
      <w:r w:rsidR="00B036EA">
        <w:rPr>
          <w:rFonts w:ascii="Arial" w:hAnsi="Arial" w:cs="Arial"/>
        </w:rPr>
        <w:t>clear purpose to a time limit, and where it is not complied with, this leaves the case hanging over the other party for longer than would otherwise be the case. However, this factor is not significant, especially given that the delay in presenti</w:t>
      </w:r>
      <w:r w:rsidR="00C74F1D">
        <w:rPr>
          <w:rFonts w:ascii="Arial" w:hAnsi="Arial" w:cs="Arial"/>
        </w:rPr>
        <w:t>ng this</w:t>
      </w:r>
      <w:r w:rsidR="00B036EA">
        <w:rPr>
          <w:rFonts w:ascii="Arial" w:hAnsi="Arial" w:cs="Arial"/>
        </w:rPr>
        <w:t xml:space="preserve"> claim is not prolonged. </w:t>
      </w:r>
    </w:p>
    <w:p w14:paraId="522E841B" w14:textId="77777777" w:rsidR="00C74F1D" w:rsidRDefault="00C74F1D" w:rsidP="00C74F1D">
      <w:pPr>
        <w:jc w:val="both"/>
        <w:rPr>
          <w:rFonts w:ascii="Arial" w:hAnsi="Arial" w:cs="Arial"/>
        </w:rPr>
      </w:pPr>
    </w:p>
    <w:p w14:paraId="5D8EEBDB" w14:textId="77777777" w:rsidR="00C74F1D" w:rsidRPr="00C74F1D" w:rsidRDefault="00C74F1D" w:rsidP="00C74F1D">
      <w:pPr>
        <w:jc w:val="both"/>
        <w:rPr>
          <w:rFonts w:ascii="Arial" w:hAnsi="Arial" w:cs="Arial"/>
          <w:i/>
        </w:rPr>
      </w:pPr>
      <w:r w:rsidRPr="00C74F1D">
        <w:rPr>
          <w:rFonts w:ascii="Arial" w:hAnsi="Arial" w:cs="Arial"/>
          <w:i/>
        </w:rPr>
        <w:t>Conclusion</w:t>
      </w:r>
    </w:p>
    <w:p w14:paraId="4EFB078D" w14:textId="77777777" w:rsidR="00B036EA" w:rsidRDefault="00B036EA" w:rsidP="00B036EA">
      <w:pPr>
        <w:pStyle w:val="ListParagraph"/>
        <w:ind w:left="360"/>
        <w:jc w:val="both"/>
        <w:rPr>
          <w:rFonts w:ascii="Arial" w:hAnsi="Arial" w:cs="Arial"/>
        </w:rPr>
      </w:pPr>
    </w:p>
    <w:p w14:paraId="0F5D81A5" w14:textId="77777777" w:rsidR="00B036EA" w:rsidRDefault="00B036EA" w:rsidP="00A663D0">
      <w:pPr>
        <w:pStyle w:val="ListParagraph"/>
        <w:numPr>
          <w:ilvl w:val="0"/>
          <w:numId w:val="3"/>
        </w:numPr>
        <w:jc w:val="both"/>
        <w:rPr>
          <w:rFonts w:ascii="Arial" w:hAnsi="Arial" w:cs="Arial"/>
        </w:rPr>
      </w:pPr>
      <w:r>
        <w:rPr>
          <w:rFonts w:ascii="Arial" w:hAnsi="Arial" w:cs="Arial"/>
        </w:rPr>
        <w:t>Taking the points on each of the three matters together, since the delay is not (in the context of the a</w:t>
      </w:r>
      <w:r w:rsidR="00C74F1D">
        <w:rPr>
          <w:rFonts w:ascii="Arial" w:hAnsi="Arial" w:cs="Arial"/>
        </w:rPr>
        <w:t xml:space="preserve">vailable evidence) significant; </w:t>
      </w:r>
      <w:r>
        <w:rPr>
          <w:rFonts w:ascii="Arial" w:hAnsi="Arial" w:cs="Arial"/>
        </w:rPr>
        <w:t xml:space="preserve">since </w:t>
      </w:r>
      <w:r w:rsidR="007D1AA7">
        <w:rPr>
          <w:rFonts w:ascii="Arial" w:hAnsi="Arial" w:cs="Arial"/>
        </w:rPr>
        <w:t>there are good reasons for the claim being lodged late</w:t>
      </w:r>
      <w:r w:rsidR="00C74F1D">
        <w:rPr>
          <w:rFonts w:ascii="Arial" w:hAnsi="Arial" w:cs="Arial"/>
        </w:rPr>
        <w:t xml:space="preserve">; </w:t>
      </w:r>
      <w:r w:rsidR="007D1AA7">
        <w:rPr>
          <w:rFonts w:ascii="Arial" w:hAnsi="Arial" w:cs="Arial"/>
        </w:rPr>
        <w:t xml:space="preserve"> and since there is no practical prejudice to the responsible body in allowing the claim to be considered, it is just and equitable that the claim is considered.</w:t>
      </w:r>
    </w:p>
    <w:p w14:paraId="11434D1E" w14:textId="77777777" w:rsidR="007D1AA7" w:rsidRDefault="007D1AA7" w:rsidP="007D1AA7">
      <w:pPr>
        <w:pStyle w:val="ListParagraph"/>
        <w:ind w:left="360"/>
        <w:jc w:val="both"/>
        <w:rPr>
          <w:rFonts w:ascii="Arial" w:hAnsi="Arial" w:cs="Arial"/>
        </w:rPr>
      </w:pPr>
    </w:p>
    <w:p w14:paraId="5DF237E3" w14:textId="77777777" w:rsidR="007D1AA7" w:rsidRDefault="007D1AA7" w:rsidP="00A663D0">
      <w:pPr>
        <w:pStyle w:val="ListParagraph"/>
        <w:numPr>
          <w:ilvl w:val="0"/>
          <w:numId w:val="3"/>
        </w:numPr>
        <w:jc w:val="both"/>
        <w:rPr>
          <w:rFonts w:ascii="Arial" w:hAnsi="Arial" w:cs="Arial"/>
        </w:rPr>
      </w:pPr>
      <w:r>
        <w:rPr>
          <w:rFonts w:ascii="Arial" w:hAnsi="Arial" w:cs="Arial"/>
        </w:rPr>
        <w:t>I will issue directions for the next stage of the claim separately.</w:t>
      </w:r>
    </w:p>
    <w:sectPr w:rsidR="007D1AA7" w:rsidSect="00D4003E">
      <w:headerReference w:type="first" r:id="rId8"/>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AF48" w14:textId="77777777" w:rsidR="00543A0F" w:rsidRDefault="00543A0F" w:rsidP="0066153D">
      <w:r>
        <w:separator/>
      </w:r>
    </w:p>
  </w:endnote>
  <w:endnote w:type="continuationSeparator" w:id="0">
    <w:p w14:paraId="0DA70DF3" w14:textId="77777777" w:rsidR="00543A0F" w:rsidRDefault="00543A0F"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ondo">
    <w:altName w:val="Tond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09E6A" w14:textId="77777777" w:rsidR="00543A0F" w:rsidRDefault="00543A0F" w:rsidP="0066153D">
      <w:r>
        <w:separator/>
      </w:r>
    </w:p>
  </w:footnote>
  <w:footnote w:type="continuationSeparator" w:id="0">
    <w:p w14:paraId="70EAF41C" w14:textId="77777777" w:rsidR="00543A0F" w:rsidRDefault="00543A0F"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C673" w14:textId="77777777" w:rsidR="00543A0F" w:rsidRPr="001A2662" w:rsidRDefault="00543A0F" w:rsidP="00D4003E">
    <w:pPr>
      <w:ind w:left="1440" w:firstLine="720"/>
      <w:rPr>
        <w:rFonts w:ascii="Trebuchet MS" w:hAnsi="Trebuchet MS"/>
        <w:b/>
        <w:sz w:val="20"/>
        <w:szCs w:val="20"/>
      </w:rPr>
    </w:pPr>
  </w:p>
  <w:p w14:paraId="7B28E75D" w14:textId="77777777" w:rsidR="00543A0F" w:rsidRDefault="00543A0F"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6B40E6D3" w14:textId="77777777" w:rsidR="00543A0F" w:rsidRDefault="00543A0F" w:rsidP="00D4003E">
    <w:pPr>
      <w:pStyle w:val="Default"/>
      <w:framePr w:w="1648" w:wrap="auto" w:vAnchor="page" w:hAnchor="page" w:x="9812" w:y="16161"/>
    </w:pPr>
  </w:p>
  <w:bookmarkEnd w:id="1"/>
  <w:bookmarkEnd w:id="2"/>
  <w:bookmarkEnd w:id="3"/>
  <w:p w14:paraId="33E41939" w14:textId="77777777" w:rsidR="00543A0F" w:rsidRDefault="00543A0F" w:rsidP="00D4003E">
    <w:pPr>
      <w:pStyle w:val="Header"/>
      <w:jc w:val="center"/>
    </w:pPr>
    <w:r>
      <w:rPr>
        <w:noProof/>
        <w:lang w:val="en-GB" w:eastAsia="en-GB"/>
      </w:rPr>
      <w:drawing>
        <wp:inline distT="0" distB="0" distL="0" distR="0" wp14:anchorId="1738F018" wp14:editId="7E5F8D80">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50A88130" w14:textId="77777777" w:rsidR="00543A0F" w:rsidRPr="00D4003E" w:rsidRDefault="00543A0F"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1D1D"/>
    <w:multiLevelType w:val="hybridMultilevel"/>
    <w:tmpl w:val="0ABC0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61933"/>
    <w:multiLevelType w:val="hybridMultilevel"/>
    <w:tmpl w:val="BC7C9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54F1D"/>
    <w:multiLevelType w:val="hybridMultilevel"/>
    <w:tmpl w:val="A59A6EB8"/>
    <w:lvl w:ilvl="0" w:tplc="84FAF44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45DAD"/>
    <w:multiLevelType w:val="hybridMultilevel"/>
    <w:tmpl w:val="1ED63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63526"/>
    <w:multiLevelType w:val="hybridMultilevel"/>
    <w:tmpl w:val="443AC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36BD6"/>
    <w:multiLevelType w:val="hybridMultilevel"/>
    <w:tmpl w:val="A3F0D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E30C6"/>
    <w:multiLevelType w:val="hybridMultilevel"/>
    <w:tmpl w:val="C6AAF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AA53E6"/>
    <w:multiLevelType w:val="hybridMultilevel"/>
    <w:tmpl w:val="C568D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A1493C"/>
    <w:multiLevelType w:val="hybridMultilevel"/>
    <w:tmpl w:val="082CDF24"/>
    <w:lvl w:ilvl="0" w:tplc="E5AC7290">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F555B6"/>
    <w:multiLevelType w:val="hybridMultilevel"/>
    <w:tmpl w:val="E96A09E6"/>
    <w:lvl w:ilvl="0" w:tplc="BAF00C0E">
      <w:start w:val="35"/>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CD51E2"/>
    <w:multiLevelType w:val="hybridMultilevel"/>
    <w:tmpl w:val="0DA24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6"/>
  </w:num>
  <w:num w:numId="5">
    <w:abstractNumId w:val="10"/>
  </w:num>
  <w:num w:numId="6">
    <w:abstractNumId w:val="1"/>
  </w:num>
  <w:num w:numId="7">
    <w:abstractNumId w:val="4"/>
  </w:num>
  <w:num w:numId="8">
    <w:abstractNumId w:val="8"/>
  </w:num>
  <w:num w:numId="9">
    <w:abstractNumId w:val="7"/>
  </w:num>
  <w:num w:numId="10">
    <w:abstractNumId w:val="0"/>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0197B"/>
    <w:rsid w:val="00002902"/>
    <w:rsid w:val="00011660"/>
    <w:rsid w:val="00013375"/>
    <w:rsid w:val="0002685C"/>
    <w:rsid w:val="0004257F"/>
    <w:rsid w:val="00056E9F"/>
    <w:rsid w:val="00061611"/>
    <w:rsid w:val="00062481"/>
    <w:rsid w:val="000717CC"/>
    <w:rsid w:val="000749A8"/>
    <w:rsid w:val="00085F01"/>
    <w:rsid w:val="000B4962"/>
    <w:rsid w:val="000B557B"/>
    <w:rsid w:val="000C2151"/>
    <w:rsid w:val="000D4C7F"/>
    <w:rsid w:val="000D6895"/>
    <w:rsid w:val="000E371A"/>
    <w:rsid w:val="000F4BA1"/>
    <w:rsid w:val="000F594B"/>
    <w:rsid w:val="001051A3"/>
    <w:rsid w:val="001067BC"/>
    <w:rsid w:val="0013069A"/>
    <w:rsid w:val="00130F36"/>
    <w:rsid w:val="00132370"/>
    <w:rsid w:val="00133C24"/>
    <w:rsid w:val="00135FA1"/>
    <w:rsid w:val="00152CDB"/>
    <w:rsid w:val="00154F7E"/>
    <w:rsid w:val="00157C4E"/>
    <w:rsid w:val="001717B3"/>
    <w:rsid w:val="00173009"/>
    <w:rsid w:val="00180C57"/>
    <w:rsid w:val="001819D2"/>
    <w:rsid w:val="00192965"/>
    <w:rsid w:val="0019439E"/>
    <w:rsid w:val="001A2662"/>
    <w:rsid w:val="001A679D"/>
    <w:rsid w:val="001A7BB6"/>
    <w:rsid w:val="001B2BA8"/>
    <w:rsid w:val="001C13D2"/>
    <w:rsid w:val="001D57AE"/>
    <w:rsid w:val="001E0E79"/>
    <w:rsid w:val="001F3858"/>
    <w:rsid w:val="001F46D9"/>
    <w:rsid w:val="001F64E3"/>
    <w:rsid w:val="0022589A"/>
    <w:rsid w:val="00227104"/>
    <w:rsid w:val="002417F3"/>
    <w:rsid w:val="00262F07"/>
    <w:rsid w:val="0027181C"/>
    <w:rsid w:val="0027392F"/>
    <w:rsid w:val="0028032E"/>
    <w:rsid w:val="00286C22"/>
    <w:rsid w:val="00295CD9"/>
    <w:rsid w:val="002B3782"/>
    <w:rsid w:val="002B4705"/>
    <w:rsid w:val="002E0C62"/>
    <w:rsid w:val="002E11ED"/>
    <w:rsid w:val="002E498E"/>
    <w:rsid w:val="002F66C5"/>
    <w:rsid w:val="00300B8E"/>
    <w:rsid w:val="00303F2E"/>
    <w:rsid w:val="00307759"/>
    <w:rsid w:val="003130B1"/>
    <w:rsid w:val="00315B2C"/>
    <w:rsid w:val="00316CEB"/>
    <w:rsid w:val="0032531E"/>
    <w:rsid w:val="00326058"/>
    <w:rsid w:val="0032711B"/>
    <w:rsid w:val="00335E2D"/>
    <w:rsid w:val="003412F9"/>
    <w:rsid w:val="00343336"/>
    <w:rsid w:val="0034603A"/>
    <w:rsid w:val="0035232F"/>
    <w:rsid w:val="00360B7B"/>
    <w:rsid w:val="003667C4"/>
    <w:rsid w:val="00371CD9"/>
    <w:rsid w:val="00394296"/>
    <w:rsid w:val="003955AD"/>
    <w:rsid w:val="003A2085"/>
    <w:rsid w:val="003B0B7E"/>
    <w:rsid w:val="003D14AF"/>
    <w:rsid w:val="003E046F"/>
    <w:rsid w:val="003E20AE"/>
    <w:rsid w:val="003E55F2"/>
    <w:rsid w:val="003F16EE"/>
    <w:rsid w:val="003F459B"/>
    <w:rsid w:val="004007D8"/>
    <w:rsid w:val="00400DE0"/>
    <w:rsid w:val="00403667"/>
    <w:rsid w:val="004056B7"/>
    <w:rsid w:val="00407561"/>
    <w:rsid w:val="00407839"/>
    <w:rsid w:val="004153F5"/>
    <w:rsid w:val="00425729"/>
    <w:rsid w:val="00427035"/>
    <w:rsid w:val="00433885"/>
    <w:rsid w:val="0043751E"/>
    <w:rsid w:val="004416B2"/>
    <w:rsid w:val="00443954"/>
    <w:rsid w:val="004452B2"/>
    <w:rsid w:val="004469FB"/>
    <w:rsid w:val="004535A8"/>
    <w:rsid w:val="00464167"/>
    <w:rsid w:val="004641F6"/>
    <w:rsid w:val="00464402"/>
    <w:rsid w:val="00466A71"/>
    <w:rsid w:val="0047120C"/>
    <w:rsid w:val="004743FB"/>
    <w:rsid w:val="00482A42"/>
    <w:rsid w:val="00495F38"/>
    <w:rsid w:val="004972CB"/>
    <w:rsid w:val="004B4D6B"/>
    <w:rsid w:val="004B6111"/>
    <w:rsid w:val="004B6129"/>
    <w:rsid w:val="004C3908"/>
    <w:rsid w:val="004C7AFC"/>
    <w:rsid w:val="004C7D1B"/>
    <w:rsid w:val="004D1383"/>
    <w:rsid w:val="004D250A"/>
    <w:rsid w:val="004D4EC6"/>
    <w:rsid w:val="004E2FFB"/>
    <w:rsid w:val="004E7110"/>
    <w:rsid w:val="004E757F"/>
    <w:rsid w:val="004E7851"/>
    <w:rsid w:val="004F4CBE"/>
    <w:rsid w:val="004F4CDB"/>
    <w:rsid w:val="00503639"/>
    <w:rsid w:val="005167C9"/>
    <w:rsid w:val="00523DE6"/>
    <w:rsid w:val="00525E84"/>
    <w:rsid w:val="00530D1A"/>
    <w:rsid w:val="005335C4"/>
    <w:rsid w:val="00543A0F"/>
    <w:rsid w:val="005507BE"/>
    <w:rsid w:val="0056325B"/>
    <w:rsid w:val="00567973"/>
    <w:rsid w:val="0057011F"/>
    <w:rsid w:val="005706D4"/>
    <w:rsid w:val="0057229E"/>
    <w:rsid w:val="005742ED"/>
    <w:rsid w:val="00581838"/>
    <w:rsid w:val="00583847"/>
    <w:rsid w:val="00586EA6"/>
    <w:rsid w:val="005A3F28"/>
    <w:rsid w:val="005C5848"/>
    <w:rsid w:val="005D6848"/>
    <w:rsid w:val="005F142D"/>
    <w:rsid w:val="005F2FAF"/>
    <w:rsid w:val="005F325F"/>
    <w:rsid w:val="005F3480"/>
    <w:rsid w:val="00602F57"/>
    <w:rsid w:val="0062262E"/>
    <w:rsid w:val="00624C3F"/>
    <w:rsid w:val="00631EFC"/>
    <w:rsid w:val="00632A85"/>
    <w:rsid w:val="00637F91"/>
    <w:rsid w:val="00641618"/>
    <w:rsid w:val="00643422"/>
    <w:rsid w:val="006453B4"/>
    <w:rsid w:val="006560D9"/>
    <w:rsid w:val="00660BEA"/>
    <w:rsid w:val="0066153D"/>
    <w:rsid w:val="00673629"/>
    <w:rsid w:val="006855DD"/>
    <w:rsid w:val="00686727"/>
    <w:rsid w:val="00687CA4"/>
    <w:rsid w:val="006974A4"/>
    <w:rsid w:val="006978AF"/>
    <w:rsid w:val="006B45E5"/>
    <w:rsid w:val="006B6295"/>
    <w:rsid w:val="006D05F8"/>
    <w:rsid w:val="006D2CB8"/>
    <w:rsid w:val="006E0FBE"/>
    <w:rsid w:val="006E75A9"/>
    <w:rsid w:val="006E7B0F"/>
    <w:rsid w:val="006F081E"/>
    <w:rsid w:val="006F23E5"/>
    <w:rsid w:val="006F5B83"/>
    <w:rsid w:val="006F612A"/>
    <w:rsid w:val="007004EE"/>
    <w:rsid w:val="0071094E"/>
    <w:rsid w:val="00711083"/>
    <w:rsid w:val="00715073"/>
    <w:rsid w:val="00715FD4"/>
    <w:rsid w:val="00720451"/>
    <w:rsid w:val="00721A28"/>
    <w:rsid w:val="00723286"/>
    <w:rsid w:val="00723970"/>
    <w:rsid w:val="00734115"/>
    <w:rsid w:val="00734572"/>
    <w:rsid w:val="00737B57"/>
    <w:rsid w:val="00740E93"/>
    <w:rsid w:val="007517B2"/>
    <w:rsid w:val="00773195"/>
    <w:rsid w:val="00775658"/>
    <w:rsid w:val="007775B9"/>
    <w:rsid w:val="00781817"/>
    <w:rsid w:val="007871EB"/>
    <w:rsid w:val="007A3332"/>
    <w:rsid w:val="007A4297"/>
    <w:rsid w:val="007D087B"/>
    <w:rsid w:val="007D1AA7"/>
    <w:rsid w:val="007D2EAC"/>
    <w:rsid w:val="007D474A"/>
    <w:rsid w:val="007D665B"/>
    <w:rsid w:val="007E6239"/>
    <w:rsid w:val="007E6A4E"/>
    <w:rsid w:val="007E72BF"/>
    <w:rsid w:val="007F00B7"/>
    <w:rsid w:val="007F6142"/>
    <w:rsid w:val="00801B22"/>
    <w:rsid w:val="00805611"/>
    <w:rsid w:val="008257CC"/>
    <w:rsid w:val="00830FCD"/>
    <w:rsid w:val="0083644D"/>
    <w:rsid w:val="00843869"/>
    <w:rsid w:val="00870E07"/>
    <w:rsid w:val="00873D50"/>
    <w:rsid w:val="00874245"/>
    <w:rsid w:val="00880594"/>
    <w:rsid w:val="00881A96"/>
    <w:rsid w:val="00881E8F"/>
    <w:rsid w:val="00882C35"/>
    <w:rsid w:val="008916C4"/>
    <w:rsid w:val="008972C2"/>
    <w:rsid w:val="008A00ED"/>
    <w:rsid w:val="008A11BF"/>
    <w:rsid w:val="008A75DE"/>
    <w:rsid w:val="008B246A"/>
    <w:rsid w:val="008C0CB7"/>
    <w:rsid w:val="008C532F"/>
    <w:rsid w:val="008D26CE"/>
    <w:rsid w:val="008E0303"/>
    <w:rsid w:val="008E38DE"/>
    <w:rsid w:val="008E5686"/>
    <w:rsid w:val="008F4090"/>
    <w:rsid w:val="00903304"/>
    <w:rsid w:val="00904902"/>
    <w:rsid w:val="00904B11"/>
    <w:rsid w:val="0092649C"/>
    <w:rsid w:val="00935634"/>
    <w:rsid w:val="0093688B"/>
    <w:rsid w:val="0094395B"/>
    <w:rsid w:val="0095441C"/>
    <w:rsid w:val="00971B58"/>
    <w:rsid w:val="00974FD6"/>
    <w:rsid w:val="0098650E"/>
    <w:rsid w:val="009921FA"/>
    <w:rsid w:val="009B58F7"/>
    <w:rsid w:val="009C2EEC"/>
    <w:rsid w:val="009D0C30"/>
    <w:rsid w:val="009D3A24"/>
    <w:rsid w:val="009D7F90"/>
    <w:rsid w:val="009E1307"/>
    <w:rsid w:val="009E19D7"/>
    <w:rsid w:val="009E4D23"/>
    <w:rsid w:val="009F420D"/>
    <w:rsid w:val="00A12C1E"/>
    <w:rsid w:val="00A13E35"/>
    <w:rsid w:val="00A22790"/>
    <w:rsid w:val="00A26C8C"/>
    <w:rsid w:val="00A27D7A"/>
    <w:rsid w:val="00A53F9A"/>
    <w:rsid w:val="00A55EF4"/>
    <w:rsid w:val="00A60597"/>
    <w:rsid w:val="00A663D0"/>
    <w:rsid w:val="00A71C7D"/>
    <w:rsid w:val="00A755C1"/>
    <w:rsid w:val="00A7664E"/>
    <w:rsid w:val="00A849DF"/>
    <w:rsid w:val="00A86A71"/>
    <w:rsid w:val="00A93227"/>
    <w:rsid w:val="00AA7A6C"/>
    <w:rsid w:val="00AB0221"/>
    <w:rsid w:val="00AB08A8"/>
    <w:rsid w:val="00AB712B"/>
    <w:rsid w:val="00AD3FA7"/>
    <w:rsid w:val="00B036EA"/>
    <w:rsid w:val="00B12862"/>
    <w:rsid w:val="00B152D9"/>
    <w:rsid w:val="00B43DC9"/>
    <w:rsid w:val="00B52266"/>
    <w:rsid w:val="00B52670"/>
    <w:rsid w:val="00B761E5"/>
    <w:rsid w:val="00B836D0"/>
    <w:rsid w:val="00B95A90"/>
    <w:rsid w:val="00BA025D"/>
    <w:rsid w:val="00BA5CE6"/>
    <w:rsid w:val="00BB0C27"/>
    <w:rsid w:val="00BC72C1"/>
    <w:rsid w:val="00BE2386"/>
    <w:rsid w:val="00BE6270"/>
    <w:rsid w:val="00BE7A3B"/>
    <w:rsid w:val="00BF0A5E"/>
    <w:rsid w:val="00BF1864"/>
    <w:rsid w:val="00BF22B1"/>
    <w:rsid w:val="00C0410D"/>
    <w:rsid w:val="00C06AB3"/>
    <w:rsid w:val="00C11CF1"/>
    <w:rsid w:val="00C4362F"/>
    <w:rsid w:val="00C52AB2"/>
    <w:rsid w:val="00C5657E"/>
    <w:rsid w:val="00C64B76"/>
    <w:rsid w:val="00C65665"/>
    <w:rsid w:val="00C74F1D"/>
    <w:rsid w:val="00C841B6"/>
    <w:rsid w:val="00C91B49"/>
    <w:rsid w:val="00CA4951"/>
    <w:rsid w:val="00CA7176"/>
    <w:rsid w:val="00CA7A74"/>
    <w:rsid w:val="00CC2B93"/>
    <w:rsid w:val="00CC3AEA"/>
    <w:rsid w:val="00CC7565"/>
    <w:rsid w:val="00CC7D9C"/>
    <w:rsid w:val="00CD4A66"/>
    <w:rsid w:val="00CD50AD"/>
    <w:rsid w:val="00CD69BE"/>
    <w:rsid w:val="00CD720B"/>
    <w:rsid w:val="00CD77FB"/>
    <w:rsid w:val="00CE2425"/>
    <w:rsid w:val="00CE24C4"/>
    <w:rsid w:val="00CE46FA"/>
    <w:rsid w:val="00CE4834"/>
    <w:rsid w:val="00CE740B"/>
    <w:rsid w:val="00D15378"/>
    <w:rsid w:val="00D17730"/>
    <w:rsid w:val="00D315FF"/>
    <w:rsid w:val="00D4003E"/>
    <w:rsid w:val="00D41F82"/>
    <w:rsid w:val="00D50C0A"/>
    <w:rsid w:val="00D617F4"/>
    <w:rsid w:val="00D7540D"/>
    <w:rsid w:val="00D8138D"/>
    <w:rsid w:val="00D869F9"/>
    <w:rsid w:val="00D96A4E"/>
    <w:rsid w:val="00DC259B"/>
    <w:rsid w:val="00DD34BE"/>
    <w:rsid w:val="00DD5ED0"/>
    <w:rsid w:val="00DF0B58"/>
    <w:rsid w:val="00DF2E6D"/>
    <w:rsid w:val="00DF576F"/>
    <w:rsid w:val="00E017AF"/>
    <w:rsid w:val="00E04005"/>
    <w:rsid w:val="00E074C2"/>
    <w:rsid w:val="00E21F2A"/>
    <w:rsid w:val="00E24119"/>
    <w:rsid w:val="00E2490B"/>
    <w:rsid w:val="00E24ACC"/>
    <w:rsid w:val="00E304C9"/>
    <w:rsid w:val="00E314A7"/>
    <w:rsid w:val="00E44A87"/>
    <w:rsid w:val="00E57605"/>
    <w:rsid w:val="00E67600"/>
    <w:rsid w:val="00E67820"/>
    <w:rsid w:val="00E73FB0"/>
    <w:rsid w:val="00E761ED"/>
    <w:rsid w:val="00EA662C"/>
    <w:rsid w:val="00EB6ED4"/>
    <w:rsid w:val="00EC40B9"/>
    <w:rsid w:val="00EC6152"/>
    <w:rsid w:val="00EC7977"/>
    <w:rsid w:val="00ED642F"/>
    <w:rsid w:val="00ED6F42"/>
    <w:rsid w:val="00EE1E15"/>
    <w:rsid w:val="00EF02B2"/>
    <w:rsid w:val="00EF114C"/>
    <w:rsid w:val="00EF333D"/>
    <w:rsid w:val="00F23BA7"/>
    <w:rsid w:val="00F36BBA"/>
    <w:rsid w:val="00F47D04"/>
    <w:rsid w:val="00F55B35"/>
    <w:rsid w:val="00F64033"/>
    <w:rsid w:val="00F760BA"/>
    <w:rsid w:val="00F76886"/>
    <w:rsid w:val="00F94B95"/>
    <w:rsid w:val="00FA0529"/>
    <w:rsid w:val="00FA40F6"/>
    <w:rsid w:val="00FB3933"/>
    <w:rsid w:val="00FC36B5"/>
    <w:rsid w:val="00FC59F1"/>
    <w:rsid w:val="00FE75D8"/>
    <w:rsid w:val="00FF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586F3"/>
  <w15:docId w15:val="{D4A937B1-7671-49C5-8D48-73CA244D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paragraph" w:styleId="FootnoteText">
    <w:name w:val="footnote text"/>
    <w:basedOn w:val="Normal"/>
    <w:link w:val="FootnoteTextChar"/>
    <w:uiPriority w:val="99"/>
    <w:semiHidden/>
    <w:unhideWhenUsed/>
    <w:rsid w:val="00360B7B"/>
    <w:pPr>
      <w:tabs>
        <w:tab w:val="left" w:pos="720"/>
        <w:tab w:val="left" w:pos="1440"/>
        <w:tab w:val="left" w:pos="2160"/>
        <w:tab w:val="left" w:pos="2880"/>
        <w:tab w:val="left" w:pos="4680"/>
        <w:tab w:val="left" w:pos="5400"/>
        <w:tab w:val="right" w:pos="9000"/>
      </w:tabs>
      <w:jc w:val="both"/>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360B7B"/>
    <w:rPr>
      <w:rFonts w:ascii="Arial" w:hAnsi="Arial"/>
      <w:sz w:val="20"/>
      <w:szCs w:val="20"/>
      <w:lang w:val="en-GB"/>
    </w:rPr>
  </w:style>
  <w:style w:type="character" w:styleId="FootnoteReference">
    <w:name w:val="footnote reference"/>
    <w:basedOn w:val="DefaultParagraphFont"/>
    <w:uiPriority w:val="99"/>
    <w:semiHidden/>
    <w:unhideWhenUsed/>
    <w:rsid w:val="00360B7B"/>
    <w:rPr>
      <w:vertAlign w:val="superscript"/>
    </w:rPr>
  </w:style>
  <w:style w:type="character" w:styleId="CommentReference">
    <w:name w:val="annotation reference"/>
    <w:basedOn w:val="DefaultParagraphFont"/>
    <w:uiPriority w:val="99"/>
    <w:semiHidden/>
    <w:unhideWhenUsed/>
    <w:rsid w:val="008E0303"/>
    <w:rPr>
      <w:sz w:val="16"/>
      <w:szCs w:val="16"/>
    </w:rPr>
  </w:style>
  <w:style w:type="paragraph" w:styleId="CommentText">
    <w:name w:val="annotation text"/>
    <w:basedOn w:val="Normal"/>
    <w:link w:val="CommentTextChar"/>
    <w:uiPriority w:val="99"/>
    <w:semiHidden/>
    <w:unhideWhenUsed/>
    <w:rsid w:val="008E0303"/>
    <w:rPr>
      <w:sz w:val="20"/>
      <w:szCs w:val="20"/>
    </w:rPr>
  </w:style>
  <w:style w:type="character" w:customStyle="1" w:styleId="CommentTextChar">
    <w:name w:val="Comment Text Char"/>
    <w:basedOn w:val="DefaultParagraphFont"/>
    <w:link w:val="CommentText"/>
    <w:uiPriority w:val="99"/>
    <w:semiHidden/>
    <w:rsid w:val="008E0303"/>
    <w:rPr>
      <w:sz w:val="20"/>
      <w:szCs w:val="20"/>
    </w:rPr>
  </w:style>
  <w:style w:type="paragraph" w:styleId="CommentSubject">
    <w:name w:val="annotation subject"/>
    <w:basedOn w:val="CommentText"/>
    <w:next w:val="CommentText"/>
    <w:link w:val="CommentSubjectChar"/>
    <w:uiPriority w:val="99"/>
    <w:semiHidden/>
    <w:unhideWhenUsed/>
    <w:rsid w:val="008E0303"/>
    <w:rPr>
      <w:b/>
      <w:bCs/>
    </w:rPr>
  </w:style>
  <w:style w:type="character" w:customStyle="1" w:styleId="CommentSubjectChar">
    <w:name w:val="Comment Subject Char"/>
    <w:basedOn w:val="CommentTextChar"/>
    <w:link w:val="CommentSubject"/>
    <w:uiPriority w:val="99"/>
    <w:semiHidden/>
    <w:rsid w:val="008E0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4643-7C38-4096-BDFA-51C3B9B1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2025</Words>
  <Characters>9705</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Auchie, Derek</cp:lastModifiedBy>
  <cp:revision>3</cp:revision>
  <dcterms:created xsi:type="dcterms:W3CDTF">2021-12-14T12:47:00Z</dcterms:created>
  <dcterms:modified xsi:type="dcterms:W3CDTF">2022-09-27T11:06:00Z</dcterms:modified>
</cp:coreProperties>
</file>