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5D" w:rsidRPr="00CE740B" w:rsidRDefault="00394296" w:rsidP="00CE740B">
      <w:pPr>
        <w:jc w:val="center"/>
        <w:rPr>
          <w:rFonts w:ascii="Arial" w:hAnsi="Arial" w:cs="Arial"/>
          <w:b/>
          <w:u w:val="single"/>
        </w:rPr>
      </w:pPr>
      <w:bookmarkStart w:id="0" w:name="_GoBack"/>
      <w:bookmarkEnd w:id="0"/>
      <w:r>
        <w:rPr>
          <w:rFonts w:ascii="Arial" w:hAnsi="Arial" w:cs="Arial"/>
          <w:b/>
          <w:u w:val="single"/>
        </w:rPr>
        <w:t>DECISION OF THE TRIBUNAL</w:t>
      </w:r>
      <w:r w:rsidR="006E5775">
        <w:rPr>
          <w:rFonts w:ascii="Arial" w:hAnsi="Arial" w:cs="Arial"/>
          <w:b/>
          <w:u w:val="single"/>
        </w:rPr>
        <w:t xml:space="preserve"> ON PRELIMINARY MATTER</w:t>
      </w:r>
    </w:p>
    <w:p w:rsidR="00394296" w:rsidRDefault="00394296" w:rsidP="00CE740B">
      <w:pPr>
        <w:outlineLvl w:val="0"/>
        <w:rPr>
          <w:rFonts w:ascii="Arial" w:hAnsi="Arial" w:cs="Arial"/>
          <w:b/>
        </w:rPr>
      </w:pPr>
    </w:p>
    <w:p w:rsidR="006855DD" w:rsidRDefault="00FB74AC" w:rsidP="006855DD">
      <w:pPr>
        <w:rPr>
          <w:rFonts w:ascii="Arial" w:hAnsi="Arial" w:cs="Arial"/>
          <w:b/>
        </w:rPr>
      </w:pPr>
      <w:r>
        <w:fldChar w:fldCharType="begin"/>
      </w:r>
      <w:r>
        <w:instrText>MERGEFIELD ApplicationSubType</w:instrText>
      </w:r>
      <w:r>
        <w:fldChar w:fldCharType="separate"/>
      </w:r>
      <w:r w:rsidR="004B6111" w:rsidRPr="004B6111">
        <w:rPr>
          <w:rFonts w:ascii="Arial" w:hAnsi="Arial" w:cs="Arial"/>
          <w:b/>
          <w:noProof/>
        </w:rPr>
        <w:t>Reference</w:t>
      </w:r>
      <w:r>
        <w:rPr>
          <w:rFonts w:ascii="Arial" w:hAnsi="Arial" w:cs="Arial"/>
          <w:b/>
          <w:noProof/>
        </w:rPr>
        <w:fldChar w:fldCharType="end"/>
      </w:r>
    </w:p>
    <w:p w:rsidR="006855DD" w:rsidRPr="005615D5" w:rsidRDefault="006855DD" w:rsidP="006855DD">
      <w:pPr>
        <w:rPr>
          <w:rFonts w:ascii="Arial" w:hAnsi="Arial" w:cs="Arial"/>
        </w:rPr>
      </w:pPr>
    </w:p>
    <w:p w:rsidR="00B5365D" w:rsidRDefault="005615D5" w:rsidP="003B512C">
      <w:pPr>
        <w:pStyle w:val="ListParagraph"/>
        <w:numPr>
          <w:ilvl w:val="0"/>
          <w:numId w:val="3"/>
        </w:numPr>
        <w:jc w:val="both"/>
        <w:rPr>
          <w:rFonts w:ascii="Arial" w:hAnsi="Arial" w:cs="Arial"/>
        </w:rPr>
      </w:pPr>
      <w:r>
        <w:rPr>
          <w:rFonts w:ascii="Arial" w:hAnsi="Arial" w:cs="Arial"/>
        </w:rPr>
        <w:t>This is a referen</w:t>
      </w:r>
      <w:r w:rsidR="00850ECF">
        <w:rPr>
          <w:rFonts w:ascii="Arial" w:hAnsi="Arial" w:cs="Arial"/>
        </w:rPr>
        <w:t xml:space="preserve">ce in which the appellant seeks, under </w:t>
      </w:r>
      <w:proofErr w:type="gramStart"/>
      <w:r w:rsidR="00850ECF">
        <w:rPr>
          <w:rFonts w:ascii="Arial" w:hAnsi="Arial" w:cs="Arial"/>
        </w:rPr>
        <w:t>s.19(</w:t>
      </w:r>
      <w:proofErr w:type="gramEnd"/>
      <w:r w:rsidR="00850ECF">
        <w:rPr>
          <w:rFonts w:ascii="Arial" w:hAnsi="Arial" w:cs="Arial"/>
        </w:rPr>
        <w:t>2) of the Education (Additional Support for Learning) (Scotland) Act 2004 (</w:t>
      </w:r>
      <w:r w:rsidR="00850ECF" w:rsidRPr="00850ECF">
        <w:rPr>
          <w:rFonts w:ascii="Arial" w:hAnsi="Arial" w:cs="Arial"/>
          <w:b/>
        </w:rPr>
        <w:t>‘the 2004 Act’</w:t>
      </w:r>
      <w:r w:rsidR="00850ECF">
        <w:rPr>
          <w:rFonts w:ascii="Arial" w:hAnsi="Arial" w:cs="Arial"/>
        </w:rPr>
        <w:t>), to overturn the decision of the respondent (referred to in s.18(3)(b)(</w:t>
      </w:r>
      <w:proofErr w:type="spellStart"/>
      <w:r w:rsidR="00850ECF">
        <w:rPr>
          <w:rFonts w:ascii="Arial" w:hAnsi="Arial" w:cs="Arial"/>
        </w:rPr>
        <w:t>i</w:t>
      </w:r>
      <w:proofErr w:type="spellEnd"/>
      <w:r w:rsidR="00850ECF">
        <w:rPr>
          <w:rFonts w:ascii="Arial" w:hAnsi="Arial" w:cs="Arial"/>
        </w:rPr>
        <w:t>) of the 2004 Act) that the child does not require a coordinated support plan (</w:t>
      </w:r>
      <w:r w:rsidR="00850ECF" w:rsidRPr="00850ECF">
        <w:rPr>
          <w:rFonts w:ascii="Arial" w:hAnsi="Arial" w:cs="Arial"/>
          <w:b/>
        </w:rPr>
        <w:t>‘CSP’</w:t>
      </w:r>
      <w:r w:rsidR="00850ECF">
        <w:rPr>
          <w:rFonts w:ascii="Arial" w:hAnsi="Arial" w:cs="Arial"/>
        </w:rPr>
        <w:t xml:space="preserve">). </w:t>
      </w:r>
    </w:p>
    <w:p w:rsidR="00B5365D" w:rsidRDefault="00B5365D" w:rsidP="00B5365D">
      <w:pPr>
        <w:pStyle w:val="ListParagraph"/>
        <w:ind w:left="360"/>
        <w:jc w:val="both"/>
        <w:rPr>
          <w:rFonts w:ascii="Arial" w:hAnsi="Arial" w:cs="Arial"/>
        </w:rPr>
      </w:pPr>
    </w:p>
    <w:p w:rsidR="00850ECF" w:rsidRPr="00850ECF" w:rsidRDefault="00584549" w:rsidP="003B512C">
      <w:pPr>
        <w:pStyle w:val="ListParagraph"/>
        <w:numPr>
          <w:ilvl w:val="0"/>
          <w:numId w:val="3"/>
        </w:numPr>
        <w:jc w:val="both"/>
        <w:rPr>
          <w:rFonts w:ascii="Arial" w:hAnsi="Arial" w:cs="Arial"/>
        </w:rPr>
      </w:pPr>
      <w:r>
        <w:rPr>
          <w:rFonts w:ascii="Arial" w:hAnsi="Arial" w:cs="Arial"/>
        </w:rPr>
        <w:t>T</w:t>
      </w:r>
      <w:r w:rsidR="00850ECF">
        <w:rPr>
          <w:rFonts w:ascii="Arial" w:hAnsi="Arial" w:cs="Arial"/>
        </w:rPr>
        <w:t>he appellant is asking the tribunal to order the respondent to prepare a CSP for the child.</w:t>
      </w:r>
    </w:p>
    <w:p w:rsidR="004B6111" w:rsidRDefault="004B6111" w:rsidP="004B6111">
      <w:pPr>
        <w:jc w:val="both"/>
        <w:rPr>
          <w:rFonts w:ascii="Arial" w:hAnsi="Arial" w:cs="Arial"/>
        </w:rPr>
      </w:pPr>
    </w:p>
    <w:p w:rsidR="00427035" w:rsidRPr="00427035" w:rsidRDefault="00427035" w:rsidP="004B6111">
      <w:pPr>
        <w:jc w:val="both"/>
        <w:rPr>
          <w:rFonts w:ascii="Arial" w:hAnsi="Arial" w:cs="Arial"/>
          <w:b/>
        </w:rPr>
      </w:pPr>
      <w:r w:rsidRPr="00427035">
        <w:rPr>
          <w:rFonts w:ascii="Arial" w:hAnsi="Arial" w:cs="Arial"/>
          <w:b/>
        </w:rPr>
        <w:t>Decision</w:t>
      </w:r>
    </w:p>
    <w:p w:rsidR="0000032B" w:rsidRDefault="0000032B" w:rsidP="004B6111">
      <w:pPr>
        <w:jc w:val="both"/>
        <w:rPr>
          <w:rFonts w:ascii="Arial" w:hAnsi="Arial" w:cs="Arial"/>
        </w:rPr>
      </w:pPr>
    </w:p>
    <w:p w:rsidR="0002685C" w:rsidRDefault="00850ECF" w:rsidP="00A20411">
      <w:pPr>
        <w:pStyle w:val="ListParagraph"/>
        <w:numPr>
          <w:ilvl w:val="0"/>
          <w:numId w:val="3"/>
        </w:numPr>
        <w:jc w:val="both"/>
        <w:rPr>
          <w:rFonts w:ascii="Arial" w:hAnsi="Arial" w:cs="Arial"/>
        </w:rPr>
      </w:pPr>
      <w:r w:rsidRPr="00B9281F">
        <w:rPr>
          <w:rFonts w:ascii="Arial" w:hAnsi="Arial" w:cs="Arial"/>
        </w:rPr>
        <w:t xml:space="preserve">This reference </w:t>
      </w:r>
      <w:proofErr w:type="gramStart"/>
      <w:r w:rsidRPr="00B9281F">
        <w:rPr>
          <w:rFonts w:ascii="Arial" w:hAnsi="Arial" w:cs="Arial"/>
        </w:rPr>
        <w:t xml:space="preserve">is </w:t>
      </w:r>
      <w:r w:rsidR="00584549">
        <w:rPr>
          <w:rFonts w:ascii="Arial" w:hAnsi="Arial" w:cs="Arial"/>
        </w:rPr>
        <w:t>dismissed</w:t>
      </w:r>
      <w:proofErr w:type="gramEnd"/>
      <w:r w:rsidR="00584549">
        <w:rPr>
          <w:rFonts w:ascii="Arial" w:hAnsi="Arial" w:cs="Arial"/>
        </w:rPr>
        <w:t xml:space="preserve"> </w:t>
      </w:r>
      <w:r w:rsidR="00584549" w:rsidRPr="00B9281F">
        <w:rPr>
          <w:rFonts w:ascii="Arial" w:hAnsi="Arial" w:cs="Arial"/>
        </w:rPr>
        <w:t xml:space="preserve">under rule 22 of the First-tier Tribunal for Scotland Health and Education Chamber Rules of Procedure </w:t>
      </w:r>
      <w:r w:rsidR="00584549">
        <w:rPr>
          <w:rFonts w:ascii="Arial" w:hAnsi="Arial" w:cs="Arial"/>
        </w:rPr>
        <w:t>2018 (‘</w:t>
      </w:r>
      <w:r w:rsidR="00584549" w:rsidRPr="003B512C">
        <w:rPr>
          <w:rFonts w:ascii="Arial" w:hAnsi="Arial" w:cs="Arial"/>
          <w:b/>
        </w:rPr>
        <w:t>the rules’</w:t>
      </w:r>
      <w:r w:rsidR="00584549">
        <w:rPr>
          <w:rFonts w:ascii="Arial" w:hAnsi="Arial" w:cs="Arial"/>
        </w:rPr>
        <w:t>),</w:t>
      </w:r>
      <w:r w:rsidRPr="00B9281F">
        <w:rPr>
          <w:rFonts w:ascii="Arial" w:hAnsi="Arial" w:cs="Arial"/>
        </w:rPr>
        <w:t xml:space="preserve"> since it is premature</w:t>
      </w:r>
      <w:r w:rsidR="00584549">
        <w:rPr>
          <w:rFonts w:ascii="Arial" w:hAnsi="Arial" w:cs="Arial"/>
        </w:rPr>
        <w:t>.</w:t>
      </w:r>
    </w:p>
    <w:p w:rsidR="00B5365D" w:rsidRDefault="00B5365D" w:rsidP="004B6111">
      <w:pPr>
        <w:jc w:val="both"/>
        <w:rPr>
          <w:rFonts w:ascii="Arial" w:hAnsi="Arial" w:cs="Arial"/>
          <w:b/>
        </w:rPr>
      </w:pPr>
    </w:p>
    <w:p w:rsidR="00427035" w:rsidRPr="0000032B" w:rsidRDefault="0000032B" w:rsidP="004B6111">
      <w:pPr>
        <w:jc w:val="both"/>
        <w:rPr>
          <w:rFonts w:ascii="Arial" w:hAnsi="Arial" w:cs="Arial"/>
          <w:b/>
        </w:rPr>
      </w:pPr>
      <w:r w:rsidRPr="0000032B">
        <w:rPr>
          <w:rFonts w:ascii="Arial" w:hAnsi="Arial" w:cs="Arial"/>
          <w:b/>
        </w:rPr>
        <w:t>Process</w:t>
      </w:r>
    </w:p>
    <w:p w:rsidR="0000032B" w:rsidRDefault="0000032B" w:rsidP="004B6111">
      <w:pPr>
        <w:jc w:val="both"/>
        <w:rPr>
          <w:rFonts w:ascii="Arial" w:hAnsi="Arial" w:cs="Arial"/>
        </w:rPr>
      </w:pPr>
    </w:p>
    <w:p w:rsidR="00D41F82" w:rsidRDefault="00850ECF" w:rsidP="00B86D43">
      <w:pPr>
        <w:pStyle w:val="ListParagraph"/>
        <w:numPr>
          <w:ilvl w:val="0"/>
          <w:numId w:val="3"/>
        </w:numPr>
        <w:jc w:val="both"/>
        <w:rPr>
          <w:rFonts w:ascii="Arial" w:hAnsi="Arial" w:cs="Arial"/>
        </w:rPr>
      </w:pPr>
      <w:r>
        <w:rPr>
          <w:rFonts w:ascii="Arial" w:hAnsi="Arial" w:cs="Arial"/>
        </w:rPr>
        <w:t xml:space="preserve">The appellant is unrepresented. The respondent is represented by </w:t>
      </w:r>
      <w:r w:rsidR="00450495">
        <w:rPr>
          <w:rFonts w:ascii="Arial" w:hAnsi="Arial" w:cs="Arial"/>
        </w:rPr>
        <w:t>a</w:t>
      </w:r>
      <w:r>
        <w:rPr>
          <w:rFonts w:ascii="Arial" w:hAnsi="Arial" w:cs="Arial"/>
        </w:rPr>
        <w:t xml:space="preserve"> solicitor. </w:t>
      </w:r>
    </w:p>
    <w:p w:rsidR="00B5365D" w:rsidRDefault="00B5365D" w:rsidP="00B5365D">
      <w:pPr>
        <w:pStyle w:val="ListParagraph"/>
        <w:ind w:left="360"/>
        <w:jc w:val="both"/>
        <w:rPr>
          <w:rFonts w:ascii="Arial" w:hAnsi="Arial" w:cs="Arial"/>
        </w:rPr>
      </w:pPr>
    </w:p>
    <w:p w:rsidR="00850ECF" w:rsidRDefault="00007BB7" w:rsidP="00B86D43">
      <w:pPr>
        <w:pStyle w:val="ListParagraph"/>
        <w:numPr>
          <w:ilvl w:val="0"/>
          <w:numId w:val="3"/>
        </w:numPr>
        <w:jc w:val="both"/>
        <w:rPr>
          <w:rFonts w:ascii="Arial" w:hAnsi="Arial" w:cs="Arial"/>
        </w:rPr>
      </w:pPr>
      <w:r>
        <w:rPr>
          <w:rFonts w:ascii="Arial" w:hAnsi="Arial" w:cs="Arial"/>
        </w:rPr>
        <w:t xml:space="preserve">The reference </w:t>
      </w:r>
      <w:proofErr w:type="gramStart"/>
      <w:r>
        <w:rPr>
          <w:rFonts w:ascii="Arial" w:hAnsi="Arial" w:cs="Arial"/>
        </w:rPr>
        <w:t>was received</w:t>
      </w:r>
      <w:proofErr w:type="gramEnd"/>
      <w:r>
        <w:rPr>
          <w:rFonts w:ascii="Arial" w:hAnsi="Arial" w:cs="Arial"/>
        </w:rPr>
        <w:t xml:space="preserve"> </w:t>
      </w:r>
      <w:r w:rsidR="00EA15B4">
        <w:rPr>
          <w:rFonts w:ascii="Arial" w:hAnsi="Arial" w:cs="Arial"/>
        </w:rPr>
        <w:t xml:space="preserve">in </w:t>
      </w:r>
      <w:r>
        <w:rPr>
          <w:rFonts w:ascii="Arial" w:hAnsi="Arial" w:cs="Arial"/>
        </w:rPr>
        <w:t xml:space="preserve">April 2021. There followed the case statement period, but no case statement was lodged by the appellant. A conference call took place </w:t>
      </w:r>
      <w:r w:rsidR="00EA15B4">
        <w:rPr>
          <w:rFonts w:ascii="Arial" w:hAnsi="Arial" w:cs="Arial"/>
        </w:rPr>
        <w:t xml:space="preserve">in </w:t>
      </w:r>
      <w:r>
        <w:rPr>
          <w:rFonts w:ascii="Arial" w:hAnsi="Arial" w:cs="Arial"/>
        </w:rPr>
        <w:t xml:space="preserve">July 2021. It </w:t>
      </w:r>
      <w:proofErr w:type="gramStart"/>
      <w:r>
        <w:rPr>
          <w:rFonts w:ascii="Arial" w:hAnsi="Arial" w:cs="Arial"/>
        </w:rPr>
        <w:t>was agreed</w:t>
      </w:r>
      <w:proofErr w:type="gramEnd"/>
      <w:r>
        <w:rPr>
          <w:rFonts w:ascii="Arial" w:hAnsi="Arial" w:cs="Arial"/>
        </w:rPr>
        <w:t xml:space="preserve"> that case statements would be lodged by July 2021, and this happened.</w:t>
      </w:r>
    </w:p>
    <w:p w:rsidR="00007BB7" w:rsidRDefault="00007BB7" w:rsidP="00007BB7">
      <w:pPr>
        <w:pStyle w:val="ListParagraph"/>
        <w:ind w:left="360"/>
        <w:jc w:val="both"/>
        <w:rPr>
          <w:rFonts w:ascii="Arial" w:hAnsi="Arial" w:cs="Arial"/>
        </w:rPr>
      </w:pPr>
    </w:p>
    <w:p w:rsidR="00B9281F" w:rsidRDefault="00007BB7" w:rsidP="00B86D43">
      <w:pPr>
        <w:pStyle w:val="ListParagraph"/>
        <w:numPr>
          <w:ilvl w:val="0"/>
          <w:numId w:val="3"/>
        </w:numPr>
        <w:jc w:val="both"/>
        <w:rPr>
          <w:rFonts w:ascii="Arial" w:hAnsi="Arial" w:cs="Arial"/>
        </w:rPr>
      </w:pPr>
      <w:r>
        <w:rPr>
          <w:rFonts w:ascii="Arial" w:hAnsi="Arial" w:cs="Arial"/>
        </w:rPr>
        <w:lastRenderedPageBreak/>
        <w:t>A</w:t>
      </w:r>
      <w:r w:rsidR="00B5365D">
        <w:rPr>
          <w:rFonts w:ascii="Arial" w:hAnsi="Arial" w:cs="Arial"/>
        </w:rPr>
        <w:t xml:space="preserve"> further</w:t>
      </w:r>
      <w:r>
        <w:rPr>
          <w:rFonts w:ascii="Arial" w:hAnsi="Arial" w:cs="Arial"/>
        </w:rPr>
        <w:t xml:space="preserve"> conference call took place </w:t>
      </w:r>
      <w:r w:rsidR="00EA15B4">
        <w:rPr>
          <w:rFonts w:ascii="Arial" w:hAnsi="Arial" w:cs="Arial"/>
        </w:rPr>
        <w:t xml:space="preserve">in </w:t>
      </w:r>
      <w:r>
        <w:rPr>
          <w:rFonts w:ascii="Arial" w:hAnsi="Arial" w:cs="Arial"/>
        </w:rPr>
        <w:t xml:space="preserve">July 2021. It was clear from the case statements that </w:t>
      </w:r>
      <w:r w:rsidR="00B9281F">
        <w:rPr>
          <w:rFonts w:ascii="Arial" w:hAnsi="Arial" w:cs="Arial"/>
        </w:rPr>
        <w:t xml:space="preserve">the reference was not yet ready to proceed to a hearing. A preliminary issue arose as to the procedure to be adopted in the reference. Two options – suspension or dismissal of the reference – were discussed. The views of both parties on each </w:t>
      </w:r>
      <w:proofErr w:type="gramStart"/>
      <w:r w:rsidR="00B9281F">
        <w:rPr>
          <w:rFonts w:ascii="Arial" w:hAnsi="Arial" w:cs="Arial"/>
        </w:rPr>
        <w:t>were taken</w:t>
      </w:r>
      <w:proofErr w:type="gramEnd"/>
      <w:r w:rsidR="00B5365D">
        <w:rPr>
          <w:rFonts w:ascii="Arial" w:hAnsi="Arial" w:cs="Arial"/>
        </w:rPr>
        <w:t xml:space="preserve"> during the July call</w:t>
      </w:r>
      <w:r w:rsidR="00B9281F">
        <w:rPr>
          <w:rFonts w:ascii="Arial" w:hAnsi="Arial" w:cs="Arial"/>
        </w:rPr>
        <w:t xml:space="preserve">. The appellant sought a suspension, the respondent urged me to dismiss the reference. </w:t>
      </w:r>
    </w:p>
    <w:p w:rsidR="00B9281F" w:rsidRDefault="00B9281F" w:rsidP="00B9281F">
      <w:pPr>
        <w:pStyle w:val="ListParagraph"/>
        <w:ind w:left="360"/>
        <w:jc w:val="both"/>
        <w:rPr>
          <w:rFonts w:ascii="Arial" w:hAnsi="Arial" w:cs="Arial"/>
        </w:rPr>
      </w:pPr>
    </w:p>
    <w:p w:rsidR="00427035" w:rsidRPr="00985DC7" w:rsidRDefault="00B9281F" w:rsidP="004B6111">
      <w:pPr>
        <w:pStyle w:val="ListParagraph"/>
        <w:numPr>
          <w:ilvl w:val="0"/>
          <w:numId w:val="3"/>
        </w:numPr>
        <w:jc w:val="both"/>
        <w:rPr>
          <w:rFonts w:ascii="Arial" w:hAnsi="Arial" w:cs="Arial"/>
        </w:rPr>
      </w:pPr>
      <w:r>
        <w:rPr>
          <w:rFonts w:ascii="Arial" w:hAnsi="Arial" w:cs="Arial"/>
        </w:rPr>
        <w:t>Following that call, I deliberated on the matter and reached the decision recorded here.</w:t>
      </w:r>
      <w:r w:rsidR="00FB74AC">
        <w:rPr>
          <w:rFonts w:ascii="Arial" w:hAnsi="Arial" w:cs="Arial"/>
        </w:rPr>
        <w:t xml:space="preserve"> The relevant facts (such as are set out below) </w:t>
      </w:r>
      <w:proofErr w:type="gramStart"/>
      <w:r w:rsidR="00FB74AC">
        <w:rPr>
          <w:rFonts w:ascii="Arial" w:hAnsi="Arial" w:cs="Arial"/>
        </w:rPr>
        <w:t>are not disputed</w:t>
      </w:r>
      <w:proofErr w:type="gramEnd"/>
      <w:r w:rsidR="00FB74AC">
        <w:rPr>
          <w:rFonts w:ascii="Arial" w:hAnsi="Arial" w:cs="Arial"/>
        </w:rPr>
        <w:t>, so I have not made any formal findings in fact.</w:t>
      </w:r>
    </w:p>
    <w:p w:rsidR="00D41F82" w:rsidRDefault="00D41F82" w:rsidP="004B6111">
      <w:pPr>
        <w:jc w:val="both"/>
        <w:rPr>
          <w:rFonts w:ascii="Arial" w:hAnsi="Arial" w:cs="Arial"/>
        </w:rPr>
      </w:pPr>
    </w:p>
    <w:p w:rsidR="00D41F82" w:rsidRPr="00D41F82" w:rsidRDefault="00D41F82" w:rsidP="004B6111">
      <w:pPr>
        <w:jc w:val="both"/>
        <w:rPr>
          <w:rFonts w:ascii="Arial" w:hAnsi="Arial" w:cs="Arial"/>
          <w:b/>
        </w:rPr>
      </w:pPr>
      <w:r w:rsidRPr="00D41F82">
        <w:rPr>
          <w:rFonts w:ascii="Arial" w:hAnsi="Arial" w:cs="Arial"/>
          <w:b/>
        </w:rPr>
        <w:t>Reasons for the Decision</w:t>
      </w:r>
    </w:p>
    <w:p w:rsidR="00D41F82" w:rsidRDefault="00D41F82" w:rsidP="004B6111">
      <w:pPr>
        <w:jc w:val="both"/>
        <w:rPr>
          <w:rFonts w:ascii="Arial" w:hAnsi="Arial" w:cs="Arial"/>
        </w:rPr>
      </w:pPr>
    </w:p>
    <w:p w:rsidR="00A14C13" w:rsidRDefault="00A14C13" w:rsidP="00D41F82">
      <w:pPr>
        <w:pStyle w:val="ListParagraph"/>
        <w:numPr>
          <w:ilvl w:val="0"/>
          <w:numId w:val="3"/>
        </w:numPr>
        <w:jc w:val="both"/>
        <w:rPr>
          <w:rFonts w:ascii="Arial" w:hAnsi="Arial" w:cs="Arial"/>
        </w:rPr>
      </w:pPr>
      <w:r>
        <w:rPr>
          <w:rFonts w:ascii="Arial" w:hAnsi="Arial" w:cs="Arial"/>
        </w:rPr>
        <w:t xml:space="preserve">The child was </w:t>
      </w:r>
      <w:r w:rsidR="00450495">
        <w:rPr>
          <w:rFonts w:ascii="Arial" w:hAnsi="Arial" w:cs="Arial"/>
        </w:rPr>
        <w:t>12 years old</w:t>
      </w:r>
      <w:r>
        <w:rPr>
          <w:rFonts w:ascii="Arial" w:hAnsi="Arial" w:cs="Arial"/>
        </w:rPr>
        <w:t xml:space="preserve">, and will complete a deferred primary 7 year in </w:t>
      </w:r>
      <w:r w:rsidR="00B5365D">
        <w:rPr>
          <w:rFonts w:ascii="Arial" w:hAnsi="Arial" w:cs="Arial"/>
        </w:rPr>
        <w:t xml:space="preserve">school session </w:t>
      </w:r>
      <w:r>
        <w:rPr>
          <w:rFonts w:ascii="Arial" w:hAnsi="Arial" w:cs="Arial"/>
        </w:rPr>
        <w:t xml:space="preserve">2021-22. </w:t>
      </w:r>
    </w:p>
    <w:p w:rsidR="00A14C13" w:rsidRDefault="00A14C13" w:rsidP="00A14C13">
      <w:pPr>
        <w:pStyle w:val="ListParagraph"/>
        <w:ind w:left="360"/>
        <w:jc w:val="both"/>
        <w:rPr>
          <w:rFonts w:ascii="Arial" w:hAnsi="Arial" w:cs="Arial"/>
        </w:rPr>
      </w:pPr>
    </w:p>
    <w:p w:rsidR="00A14C13" w:rsidRDefault="00F15113" w:rsidP="00D41F82">
      <w:pPr>
        <w:pStyle w:val="ListParagraph"/>
        <w:numPr>
          <w:ilvl w:val="0"/>
          <w:numId w:val="3"/>
        </w:numPr>
        <w:jc w:val="both"/>
        <w:rPr>
          <w:rFonts w:ascii="Arial" w:hAnsi="Arial" w:cs="Arial"/>
        </w:rPr>
      </w:pPr>
      <w:r>
        <w:rPr>
          <w:rFonts w:ascii="Arial" w:hAnsi="Arial" w:cs="Arial"/>
        </w:rPr>
        <w:t xml:space="preserve">In order for a CSP to be required, the tests in s.2 of the 2004 Act must be met. There are four tests. There is no dispute about the fact that three of these tests are met (those in </w:t>
      </w:r>
      <w:proofErr w:type="gramStart"/>
      <w:r>
        <w:rPr>
          <w:rFonts w:ascii="Arial" w:hAnsi="Arial" w:cs="Arial"/>
        </w:rPr>
        <w:t>s.2(</w:t>
      </w:r>
      <w:proofErr w:type="gramEnd"/>
      <w:r>
        <w:rPr>
          <w:rFonts w:ascii="Arial" w:hAnsi="Arial" w:cs="Arial"/>
        </w:rPr>
        <w:t xml:space="preserve">1)(a)-(c) of the 2004 Act). The issue is around the test in </w:t>
      </w:r>
      <w:proofErr w:type="gramStart"/>
      <w:r>
        <w:rPr>
          <w:rFonts w:ascii="Arial" w:hAnsi="Arial" w:cs="Arial"/>
        </w:rPr>
        <w:t>s.2(</w:t>
      </w:r>
      <w:proofErr w:type="gramEnd"/>
      <w:r>
        <w:rPr>
          <w:rFonts w:ascii="Arial" w:hAnsi="Arial" w:cs="Arial"/>
        </w:rPr>
        <w:t xml:space="preserve">1)(d) of the 2004 Act. </w:t>
      </w:r>
    </w:p>
    <w:p w:rsidR="00A14C13" w:rsidRDefault="00A14C13" w:rsidP="00A14C13">
      <w:pPr>
        <w:pStyle w:val="ListParagraph"/>
        <w:ind w:left="360"/>
        <w:jc w:val="both"/>
        <w:rPr>
          <w:rFonts w:ascii="Arial" w:hAnsi="Arial" w:cs="Arial"/>
        </w:rPr>
      </w:pPr>
    </w:p>
    <w:p w:rsidR="00D41F82" w:rsidRDefault="00F15113" w:rsidP="00D41F82">
      <w:pPr>
        <w:pStyle w:val="ListParagraph"/>
        <w:numPr>
          <w:ilvl w:val="0"/>
          <w:numId w:val="3"/>
        </w:numPr>
        <w:jc w:val="both"/>
        <w:rPr>
          <w:rFonts w:ascii="Arial" w:hAnsi="Arial" w:cs="Arial"/>
        </w:rPr>
      </w:pPr>
      <w:r>
        <w:rPr>
          <w:rFonts w:ascii="Arial" w:hAnsi="Arial" w:cs="Arial"/>
        </w:rPr>
        <w:t>That part of the test</w:t>
      </w:r>
      <w:r w:rsidR="00A14C13">
        <w:rPr>
          <w:rFonts w:ascii="Arial" w:hAnsi="Arial" w:cs="Arial"/>
        </w:rPr>
        <w:t xml:space="preserve"> (in </w:t>
      </w:r>
      <w:proofErr w:type="gramStart"/>
      <w:r w:rsidR="00A14C13">
        <w:rPr>
          <w:rFonts w:ascii="Arial" w:hAnsi="Arial" w:cs="Arial"/>
        </w:rPr>
        <w:t>s.2(</w:t>
      </w:r>
      <w:proofErr w:type="gramEnd"/>
      <w:r w:rsidR="00A14C13">
        <w:rPr>
          <w:rFonts w:ascii="Arial" w:hAnsi="Arial" w:cs="Arial"/>
        </w:rPr>
        <w:t>1)(d))</w:t>
      </w:r>
      <w:r>
        <w:rPr>
          <w:rFonts w:ascii="Arial" w:hAnsi="Arial" w:cs="Arial"/>
        </w:rPr>
        <w:t xml:space="preserve"> may be met only if the </w:t>
      </w:r>
      <w:r w:rsidR="00A14C13">
        <w:rPr>
          <w:rFonts w:ascii="Arial" w:hAnsi="Arial" w:cs="Arial"/>
        </w:rPr>
        <w:t>wording of s.2(1)(d)(</w:t>
      </w:r>
      <w:proofErr w:type="spellStart"/>
      <w:r w:rsidR="00A14C13">
        <w:rPr>
          <w:rFonts w:ascii="Arial" w:hAnsi="Arial" w:cs="Arial"/>
        </w:rPr>
        <w:t>i</w:t>
      </w:r>
      <w:proofErr w:type="spellEnd"/>
      <w:r w:rsidR="00A14C13">
        <w:rPr>
          <w:rFonts w:ascii="Arial" w:hAnsi="Arial" w:cs="Arial"/>
        </w:rPr>
        <w:t>) or (ii) applies. I will deal with each in turn.</w:t>
      </w:r>
    </w:p>
    <w:p w:rsidR="00F15113" w:rsidRDefault="00F15113" w:rsidP="00F15113">
      <w:pPr>
        <w:pStyle w:val="ListParagraph"/>
        <w:ind w:left="360"/>
        <w:jc w:val="both"/>
        <w:rPr>
          <w:rFonts w:ascii="Arial" w:hAnsi="Arial" w:cs="Arial"/>
        </w:rPr>
      </w:pPr>
    </w:p>
    <w:p w:rsidR="00F15113" w:rsidRDefault="00F15113" w:rsidP="00D41F82">
      <w:pPr>
        <w:pStyle w:val="ListParagraph"/>
        <w:numPr>
          <w:ilvl w:val="0"/>
          <w:numId w:val="3"/>
        </w:numPr>
        <w:jc w:val="both"/>
        <w:rPr>
          <w:rFonts w:ascii="Arial" w:hAnsi="Arial" w:cs="Arial"/>
        </w:rPr>
      </w:pPr>
      <w:r>
        <w:rPr>
          <w:rFonts w:ascii="Arial" w:hAnsi="Arial" w:cs="Arial"/>
        </w:rPr>
        <w:t xml:space="preserve">It is clear that the needs of the child require significant additional support to be provided by the respondent in the exercise of its functions relating to education. However, there is currently no support being provided by the respondent in the exercise of any of its other functions. This means that </w:t>
      </w:r>
      <w:proofErr w:type="gramStart"/>
      <w:r>
        <w:rPr>
          <w:rFonts w:ascii="Arial" w:hAnsi="Arial" w:cs="Arial"/>
        </w:rPr>
        <w:t>s.2(</w:t>
      </w:r>
      <w:proofErr w:type="gramEnd"/>
      <w:r>
        <w:rPr>
          <w:rFonts w:ascii="Arial" w:hAnsi="Arial" w:cs="Arial"/>
        </w:rPr>
        <w:t>1)(d)(</w:t>
      </w:r>
      <w:proofErr w:type="spellStart"/>
      <w:r>
        <w:rPr>
          <w:rFonts w:ascii="Arial" w:hAnsi="Arial" w:cs="Arial"/>
        </w:rPr>
        <w:t>i</w:t>
      </w:r>
      <w:proofErr w:type="spellEnd"/>
      <w:r>
        <w:rPr>
          <w:rFonts w:ascii="Arial" w:hAnsi="Arial" w:cs="Arial"/>
        </w:rPr>
        <w:t>) does not apply.</w:t>
      </w:r>
    </w:p>
    <w:p w:rsidR="00A14C13" w:rsidRDefault="00A14C13" w:rsidP="00A14C13">
      <w:pPr>
        <w:pStyle w:val="ListParagraph"/>
        <w:ind w:left="360"/>
        <w:jc w:val="both"/>
        <w:rPr>
          <w:rFonts w:ascii="Arial" w:hAnsi="Arial" w:cs="Arial"/>
        </w:rPr>
      </w:pPr>
    </w:p>
    <w:p w:rsidR="00A14C13" w:rsidRDefault="00A14C13" w:rsidP="00D41F82">
      <w:pPr>
        <w:pStyle w:val="ListParagraph"/>
        <w:numPr>
          <w:ilvl w:val="0"/>
          <w:numId w:val="3"/>
        </w:numPr>
        <w:jc w:val="both"/>
        <w:rPr>
          <w:rFonts w:ascii="Arial" w:hAnsi="Arial" w:cs="Arial"/>
        </w:rPr>
      </w:pPr>
      <w:r>
        <w:rPr>
          <w:rFonts w:ascii="Arial" w:hAnsi="Arial" w:cs="Arial"/>
        </w:rPr>
        <w:t xml:space="preserve">Turning to </w:t>
      </w:r>
      <w:proofErr w:type="gramStart"/>
      <w:r>
        <w:rPr>
          <w:rFonts w:ascii="Arial" w:hAnsi="Arial" w:cs="Arial"/>
        </w:rPr>
        <w:t>s.2(</w:t>
      </w:r>
      <w:proofErr w:type="gramEnd"/>
      <w:r>
        <w:rPr>
          <w:rFonts w:ascii="Arial" w:hAnsi="Arial" w:cs="Arial"/>
        </w:rPr>
        <w:t>1)(d)(ii), the po</w:t>
      </w:r>
      <w:r w:rsidR="008B78BF">
        <w:rPr>
          <w:rFonts w:ascii="Arial" w:hAnsi="Arial" w:cs="Arial"/>
        </w:rPr>
        <w:t>sition is more involved</w:t>
      </w:r>
      <w:r>
        <w:rPr>
          <w:rFonts w:ascii="Arial" w:hAnsi="Arial" w:cs="Arial"/>
        </w:rPr>
        <w:t>. There was a CSP in place for the child between primary 1 and 5. The CSP was discontinued</w:t>
      </w:r>
      <w:r w:rsidR="00E96C1F">
        <w:rPr>
          <w:rFonts w:ascii="Arial" w:hAnsi="Arial" w:cs="Arial"/>
        </w:rPr>
        <w:t xml:space="preserve"> when the child was in primary 6</w:t>
      </w:r>
      <w:r>
        <w:rPr>
          <w:rFonts w:ascii="Arial" w:hAnsi="Arial" w:cs="Arial"/>
        </w:rPr>
        <w:t xml:space="preserve">. </w:t>
      </w:r>
      <w:r w:rsidR="00926163">
        <w:rPr>
          <w:rFonts w:ascii="Arial" w:hAnsi="Arial" w:cs="Arial"/>
        </w:rPr>
        <w:t>The reason provided by the respondent for the CSP being discontinued is that from that stage, there has been no input by one or more appropriate agencies</w:t>
      </w:r>
      <w:r w:rsidR="008B78BF">
        <w:rPr>
          <w:rFonts w:ascii="Arial" w:hAnsi="Arial" w:cs="Arial"/>
        </w:rPr>
        <w:t>. The claimant accepts that this is the case.</w:t>
      </w:r>
    </w:p>
    <w:p w:rsidR="008B78BF" w:rsidRDefault="008B78BF" w:rsidP="008B78BF">
      <w:pPr>
        <w:pStyle w:val="ListParagraph"/>
        <w:ind w:left="360"/>
        <w:jc w:val="both"/>
        <w:rPr>
          <w:rFonts w:ascii="Arial" w:hAnsi="Arial" w:cs="Arial"/>
        </w:rPr>
      </w:pPr>
    </w:p>
    <w:p w:rsidR="00D41F82" w:rsidRDefault="008B78BF" w:rsidP="004B6111">
      <w:pPr>
        <w:pStyle w:val="ListParagraph"/>
        <w:numPr>
          <w:ilvl w:val="0"/>
          <w:numId w:val="3"/>
        </w:numPr>
        <w:jc w:val="both"/>
        <w:rPr>
          <w:rFonts w:ascii="Arial" w:hAnsi="Arial" w:cs="Arial"/>
        </w:rPr>
      </w:pPr>
      <w:r>
        <w:rPr>
          <w:rFonts w:ascii="Arial" w:hAnsi="Arial" w:cs="Arial"/>
        </w:rPr>
        <w:t xml:space="preserve"> The claimant indicates that she intends to make referrals to the child’s </w:t>
      </w:r>
      <w:r w:rsidR="00085BB7">
        <w:rPr>
          <w:rFonts w:ascii="Arial" w:hAnsi="Arial" w:cs="Arial"/>
        </w:rPr>
        <w:t>pediatrician</w:t>
      </w:r>
      <w:r>
        <w:rPr>
          <w:rFonts w:ascii="Arial" w:hAnsi="Arial" w:cs="Arial"/>
        </w:rPr>
        <w:t>,</w:t>
      </w:r>
      <w:r w:rsidR="00B5365D">
        <w:rPr>
          <w:rFonts w:ascii="Arial" w:hAnsi="Arial" w:cs="Arial"/>
        </w:rPr>
        <w:t xml:space="preserve"> to</w:t>
      </w:r>
      <w:r>
        <w:rPr>
          <w:rFonts w:ascii="Arial" w:hAnsi="Arial" w:cs="Arial"/>
        </w:rPr>
        <w:t xml:space="preserve"> speech and language therapy and </w:t>
      </w:r>
      <w:r w:rsidR="00B5365D">
        <w:rPr>
          <w:rFonts w:ascii="Arial" w:hAnsi="Arial" w:cs="Arial"/>
        </w:rPr>
        <w:t xml:space="preserve">to </w:t>
      </w:r>
      <w:r>
        <w:rPr>
          <w:rFonts w:ascii="Arial" w:hAnsi="Arial" w:cs="Arial"/>
        </w:rPr>
        <w:t>mental health services to assist with</w:t>
      </w:r>
      <w:r w:rsidR="00E96C1F">
        <w:rPr>
          <w:rFonts w:ascii="Arial" w:hAnsi="Arial" w:cs="Arial"/>
        </w:rPr>
        <w:t xml:space="preserve"> secondary school</w:t>
      </w:r>
      <w:r>
        <w:rPr>
          <w:rFonts w:ascii="Arial" w:hAnsi="Arial" w:cs="Arial"/>
        </w:rPr>
        <w:t xml:space="preserve"> tr</w:t>
      </w:r>
      <w:r w:rsidR="00E96C1F">
        <w:rPr>
          <w:rFonts w:ascii="Arial" w:hAnsi="Arial" w:cs="Arial"/>
        </w:rPr>
        <w:t xml:space="preserve">ansition planning for the child. The child </w:t>
      </w:r>
      <w:r>
        <w:rPr>
          <w:rFonts w:ascii="Arial" w:hAnsi="Arial" w:cs="Arial"/>
        </w:rPr>
        <w:t>is due to start</w:t>
      </w:r>
      <w:r w:rsidR="00E96C1F">
        <w:rPr>
          <w:rFonts w:ascii="Arial" w:hAnsi="Arial" w:cs="Arial"/>
        </w:rPr>
        <w:t xml:space="preserve"> secondary school in school year 2022-23. The appellant</w:t>
      </w:r>
      <w:r>
        <w:rPr>
          <w:rFonts w:ascii="Arial" w:hAnsi="Arial" w:cs="Arial"/>
        </w:rPr>
        <w:t xml:space="preserve"> indicates that due to the current pandemic, there are long waiting lists for these services, with some taking over a year</w:t>
      </w:r>
      <w:r w:rsidR="00B5365D">
        <w:rPr>
          <w:rFonts w:ascii="Arial" w:hAnsi="Arial" w:cs="Arial"/>
        </w:rPr>
        <w:t xml:space="preserve"> for a referral</w:t>
      </w:r>
      <w:r>
        <w:rPr>
          <w:rFonts w:ascii="Arial" w:hAnsi="Arial" w:cs="Arial"/>
        </w:rPr>
        <w:t xml:space="preserve">. </w:t>
      </w:r>
    </w:p>
    <w:p w:rsidR="00EE1BEC" w:rsidRDefault="00EE1BEC" w:rsidP="00EE1BEC">
      <w:pPr>
        <w:pStyle w:val="ListParagraph"/>
        <w:ind w:left="360"/>
        <w:jc w:val="both"/>
        <w:rPr>
          <w:rFonts w:ascii="Arial" w:hAnsi="Arial" w:cs="Arial"/>
        </w:rPr>
      </w:pPr>
    </w:p>
    <w:p w:rsidR="003B512C" w:rsidRDefault="00EE1BEC" w:rsidP="004B6111">
      <w:pPr>
        <w:pStyle w:val="ListParagraph"/>
        <w:numPr>
          <w:ilvl w:val="0"/>
          <w:numId w:val="3"/>
        </w:numPr>
        <w:jc w:val="both"/>
        <w:rPr>
          <w:rFonts w:ascii="Arial" w:hAnsi="Arial" w:cs="Arial"/>
        </w:rPr>
      </w:pPr>
      <w:r>
        <w:rPr>
          <w:rFonts w:ascii="Arial" w:hAnsi="Arial" w:cs="Arial"/>
        </w:rPr>
        <w:t>The claimant would require to lead evidence of significant additional support being required from a health service (such as those listed above)</w:t>
      </w:r>
      <w:r w:rsidR="00B5365D">
        <w:rPr>
          <w:rFonts w:ascii="Arial" w:hAnsi="Arial" w:cs="Arial"/>
        </w:rPr>
        <w:t xml:space="preserve"> in order to have a prospect of success in this reference</w:t>
      </w:r>
      <w:r>
        <w:rPr>
          <w:rFonts w:ascii="Arial" w:hAnsi="Arial" w:cs="Arial"/>
        </w:rPr>
        <w:t xml:space="preserve">. In my view, in the absence </w:t>
      </w:r>
      <w:r w:rsidR="00B5365D">
        <w:rPr>
          <w:rFonts w:ascii="Arial" w:hAnsi="Arial" w:cs="Arial"/>
        </w:rPr>
        <w:t xml:space="preserve">of </w:t>
      </w:r>
      <w:r>
        <w:rPr>
          <w:rFonts w:ascii="Arial" w:hAnsi="Arial" w:cs="Arial"/>
        </w:rPr>
        <w:t>referral</w:t>
      </w:r>
      <w:r w:rsidR="00B5365D">
        <w:rPr>
          <w:rFonts w:ascii="Arial" w:hAnsi="Arial" w:cs="Arial"/>
        </w:rPr>
        <w:t>s</w:t>
      </w:r>
      <w:r w:rsidR="00E96C1F">
        <w:rPr>
          <w:rFonts w:ascii="Arial" w:hAnsi="Arial" w:cs="Arial"/>
        </w:rPr>
        <w:t xml:space="preserve"> and </w:t>
      </w:r>
      <w:r>
        <w:rPr>
          <w:rFonts w:ascii="Arial" w:hAnsi="Arial" w:cs="Arial"/>
        </w:rPr>
        <w:t>assessment</w:t>
      </w:r>
      <w:r w:rsidR="00E96C1F">
        <w:rPr>
          <w:rFonts w:ascii="Arial" w:hAnsi="Arial" w:cs="Arial"/>
        </w:rPr>
        <w:t>s</w:t>
      </w:r>
      <w:r>
        <w:rPr>
          <w:rFonts w:ascii="Arial" w:hAnsi="Arial" w:cs="Arial"/>
        </w:rPr>
        <w:t xml:space="preserve"> of those</w:t>
      </w:r>
      <w:r w:rsidR="00E96C1F">
        <w:rPr>
          <w:rFonts w:ascii="Arial" w:hAnsi="Arial" w:cs="Arial"/>
        </w:rPr>
        <w:t xml:space="preserve"> health</w:t>
      </w:r>
      <w:r>
        <w:rPr>
          <w:rFonts w:ascii="Arial" w:hAnsi="Arial" w:cs="Arial"/>
        </w:rPr>
        <w:t xml:space="preserve"> needs, that evidence is not available. It is not clear when that evidence might become available. </w:t>
      </w:r>
    </w:p>
    <w:p w:rsidR="003B512C" w:rsidRDefault="003B512C" w:rsidP="003B512C">
      <w:pPr>
        <w:pStyle w:val="ListParagraph"/>
        <w:ind w:left="360"/>
        <w:jc w:val="both"/>
        <w:rPr>
          <w:rFonts w:ascii="Arial" w:hAnsi="Arial" w:cs="Arial"/>
        </w:rPr>
      </w:pPr>
    </w:p>
    <w:p w:rsidR="00EE1BEC" w:rsidRDefault="00EE1BEC" w:rsidP="004B6111">
      <w:pPr>
        <w:pStyle w:val="ListParagraph"/>
        <w:numPr>
          <w:ilvl w:val="0"/>
          <w:numId w:val="3"/>
        </w:numPr>
        <w:jc w:val="both"/>
        <w:rPr>
          <w:rFonts w:ascii="Arial" w:hAnsi="Arial" w:cs="Arial"/>
        </w:rPr>
      </w:pPr>
      <w:r>
        <w:rPr>
          <w:rFonts w:ascii="Arial" w:hAnsi="Arial" w:cs="Arial"/>
        </w:rPr>
        <w:t>Although</w:t>
      </w:r>
      <w:r w:rsidR="003B512C">
        <w:rPr>
          <w:rFonts w:ascii="Arial" w:hAnsi="Arial" w:cs="Arial"/>
        </w:rPr>
        <w:t>, as urged by the claimant,</w:t>
      </w:r>
      <w:r>
        <w:rPr>
          <w:rFonts w:ascii="Arial" w:hAnsi="Arial" w:cs="Arial"/>
        </w:rPr>
        <w:t xml:space="preserve"> the reference could be suspended for a period to see if the referrals and assessments might be carried out, it is not clear how lon</w:t>
      </w:r>
      <w:r w:rsidR="003B512C">
        <w:rPr>
          <w:rFonts w:ascii="Arial" w:hAnsi="Arial" w:cs="Arial"/>
        </w:rPr>
        <w:t>g the period of suspension might be. While an indefinite suspension is possible (see rule 24(2) of the rules), I may only suspend a reference where I consider that it is fair and just to do so (rule 24(1</w:t>
      </w:r>
      <w:proofErr w:type="gramStart"/>
      <w:r w:rsidR="003B512C">
        <w:rPr>
          <w:rFonts w:ascii="Arial" w:hAnsi="Arial" w:cs="Arial"/>
        </w:rPr>
        <w:t>)(</w:t>
      </w:r>
      <w:proofErr w:type="gramEnd"/>
      <w:r w:rsidR="003B512C">
        <w:rPr>
          <w:rFonts w:ascii="Arial" w:hAnsi="Arial" w:cs="Arial"/>
        </w:rPr>
        <w:t xml:space="preserve">b)). </w:t>
      </w:r>
    </w:p>
    <w:p w:rsidR="003B512C" w:rsidRDefault="003B512C" w:rsidP="003B512C">
      <w:pPr>
        <w:pStyle w:val="ListParagraph"/>
        <w:ind w:left="360"/>
        <w:jc w:val="both"/>
        <w:rPr>
          <w:rFonts w:ascii="Arial" w:hAnsi="Arial" w:cs="Arial"/>
        </w:rPr>
      </w:pPr>
    </w:p>
    <w:p w:rsidR="003B512C" w:rsidRDefault="003B512C" w:rsidP="004B6111">
      <w:pPr>
        <w:pStyle w:val="ListParagraph"/>
        <w:numPr>
          <w:ilvl w:val="0"/>
          <w:numId w:val="3"/>
        </w:numPr>
        <w:jc w:val="both"/>
        <w:rPr>
          <w:rFonts w:ascii="Arial" w:hAnsi="Arial" w:cs="Arial"/>
        </w:rPr>
      </w:pPr>
      <w:r>
        <w:rPr>
          <w:rFonts w:ascii="Arial" w:hAnsi="Arial" w:cs="Arial"/>
        </w:rPr>
        <w:t xml:space="preserve"> I am not satisfied that it would be fair and just to suspend the reference. To do so would leave the reference in limbo for what would be likely to be a substantial (unspecified) period. In my view, where a reference is made, the </w:t>
      </w:r>
      <w:r>
        <w:rPr>
          <w:rFonts w:ascii="Arial" w:hAnsi="Arial" w:cs="Arial"/>
        </w:rPr>
        <w:lastRenderedPageBreak/>
        <w:t xml:space="preserve">appellant should be in a position to pursue it in reasonably early course. </w:t>
      </w:r>
      <w:r w:rsidR="00D06266">
        <w:rPr>
          <w:rFonts w:ascii="Arial" w:hAnsi="Arial" w:cs="Arial"/>
        </w:rPr>
        <w:t>This is underpinned by the overriding objective which requires the avoidance of delay</w:t>
      </w:r>
      <w:r w:rsidR="00D06266" w:rsidRPr="00D06266">
        <w:rPr>
          <w:rFonts w:ascii="Arial" w:hAnsi="Arial" w:cs="Arial"/>
        </w:rPr>
        <w:t xml:space="preserve"> </w:t>
      </w:r>
      <w:r w:rsidR="00D06266">
        <w:rPr>
          <w:rFonts w:ascii="Arial" w:hAnsi="Arial" w:cs="Arial"/>
        </w:rPr>
        <w:t>(</w:t>
      </w:r>
      <w:r w:rsidR="00D06266" w:rsidRPr="00D06266">
        <w:rPr>
          <w:rFonts w:ascii="Arial" w:hAnsi="Arial" w:cs="Arial"/>
        </w:rPr>
        <w:t>rule 2(2</w:t>
      </w:r>
      <w:proofErr w:type="gramStart"/>
      <w:r w:rsidR="00D06266" w:rsidRPr="00D06266">
        <w:rPr>
          <w:rFonts w:ascii="Arial" w:hAnsi="Arial" w:cs="Arial"/>
        </w:rPr>
        <w:t>)(</w:t>
      </w:r>
      <w:proofErr w:type="gramEnd"/>
      <w:r w:rsidR="00D06266" w:rsidRPr="00D06266">
        <w:rPr>
          <w:rFonts w:ascii="Arial" w:hAnsi="Arial" w:cs="Arial"/>
        </w:rPr>
        <w:t>e)</w:t>
      </w:r>
      <w:r w:rsidR="00D06266">
        <w:rPr>
          <w:rFonts w:ascii="Arial" w:hAnsi="Arial" w:cs="Arial"/>
        </w:rPr>
        <w:t xml:space="preserve">). In addition, the appellant may lodge a further reference at a time when the relevant assessments which would provide evidence to substantiate her case may be available. </w:t>
      </w:r>
      <w:r w:rsidR="00B5365D">
        <w:rPr>
          <w:rFonts w:ascii="Arial" w:hAnsi="Arial" w:cs="Arial"/>
        </w:rPr>
        <w:t xml:space="preserve">This means that a dismissal would not deprive the appellant of a remedy. </w:t>
      </w:r>
      <w:r w:rsidR="00D06266">
        <w:rPr>
          <w:rFonts w:ascii="Arial" w:hAnsi="Arial" w:cs="Arial"/>
        </w:rPr>
        <w:t>Finally, it is fair to allow the respondent an opportunity to decide whether or not, on the basis of those assessments once they are available, to agree t</w:t>
      </w:r>
      <w:r w:rsidR="00FB74AC">
        <w:rPr>
          <w:rFonts w:ascii="Arial" w:hAnsi="Arial" w:cs="Arial"/>
        </w:rPr>
        <w:t>o compose a CSP. If the respondent were to agree to do so</w:t>
      </w:r>
      <w:r w:rsidR="00D06266">
        <w:rPr>
          <w:rFonts w:ascii="Arial" w:hAnsi="Arial" w:cs="Arial"/>
        </w:rPr>
        <w:t>, there would be no need for a reference of this kind.</w:t>
      </w:r>
    </w:p>
    <w:p w:rsidR="00B5365D" w:rsidRDefault="00B5365D" w:rsidP="00B5365D">
      <w:pPr>
        <w:pStyle w:val="ListParagraph"/>
        <w:ind w:left="360"/>
        <w:jc w:val="both"/>
        <w:rPr>
          <w:rFonts w:ascii="Arial" w:hAnsi="Arial" w:cs="Arial"/>
        </w:rPr>
      </w:pPr>
    </w:p>
    <w:p w:rsidR="00B5365D" w:rsidRDefault="005A29AA" w:rsidP="004B6111">
      <w:pPr>
        <w:pStyle w:val="ListParagraph"/>
        <w:numPr>
          <w:ilvl w:val="0"/>
          <w:numId w:val="3"/>
        </w:numPr>
        <w:jc w:val="both"/>
        <w:rPr>
          <w:rFonts w:ascii="Arial" w:hAnsi="Arial" w:cs="Arial"/>
        </w:rPr>
      </w:pPr>
      <w:r>
        <w:rPr>
          <w:rFonts w:ascii="Arial" w:hAnsi="Arial" w:cs="Arial"/>
        </w:rPr>
        <w:t>The reference is not ready to proceed to a hearing. A suspension would not be fair and just. That leaves dismissal as the only course of action open to me.</w:t>
      </w:r>
    </w:p>
    <w:p w:rsidR="00D06266" w:rsidRDefault="00D06266" w:rsidP="00D06266">
      <w:pPr>
        <w:pStyle w:val="ListParagraph"/>
        <w:ind w:left="360"/>
        <w:jc w:val="both"/>
        <w:rPr>
          <w:rFonts w:ascii="Arial" w:hAnsi="Arial" w:cs="Arial"/>
        </w:rPr>
      </w:pPr>
    </w:p>
    <w:p w:rsidR="00D06266" w:rsidRPr="008B78BF" w:rsidRDefault="00D06266" w:rsidP="004B6111">
      <w:pPr>
        <w:pStyle w:val="ListParagraph"/>
        <w:numPr>
          <w:ilvl w:val="0"/>
          <w:numId w:val="3"/>
        </w:numPr>
        <w:jc w:val="both"/>
        <w:rPr>
          <w:rFonts w:ascii="Arial" w:hAnsi="Arial" w:cs="Arial"/>
        </w:rPr>
      </w:pPr>
      <w:r>
        <w:rPr>
          <w:rFonts w:ascii="Arial" w:hAnsi="Arial" w:cs="Arial"/>
        </w:rPr>
        <w:t>For these reasons, the reference is premature, and ought to be dismissed.</w:t>
      </w:r>
    </w:p>
    <w:p w:rsidR="00420CF2" w:rsidRPr="0098562E" w:rsidRDefault="00420CF2" w:rsidP="0092649C">
      <w:pPr>
        <w:rPr>
          <w:rFonts w:ascii="Arial" w:hAnsi="Arial" w:cs="Arial"/>
          <w:b/>
        </w:rPr>
      </w:pPr>
    </w:p>
    <w:p w:rsidR="007517B2" w:rsidRPr="007517B2" w:rsidRDefault="007517B2">
      <w:pPr>
        <w:rPr>
          <w:rFonts w:ascii="Arial" w:hAnsi="Arial" w:cs="Arial"/>
        </w:rPr>
      </w:pPr>
    </w:p>
    <w:sectPr w:rsidR="007517B2" w:rsidRPr="007517B2" w:rsidSect="00D4003E">
      <w:headerReference w:type="first" r:id="rId7"/>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43" w:rsidRDefault="00B86D43" w:rsidP="0066153D">
      <w:r>
        <w:separator/>
      </w:r>
    </w:p>
  </w:endnote>
  <w:endnote w:type="continuationSeparator" w:id="0">
    <w:p w:rsidR="00B86D43" w:rsidRDefault="00B86D43"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43" w:rsidRDefault="00B86D43" w:rsidP="0066153D">
      <w:r>
        <w:separator/>
      </w:r>
    </w:p>
  </w:footnote>
  <w:footnote w:type="continuationSeparator" w:id="0">
    <w:p w:rsidR="00B86D43" w:rsidRDefault="00B86D43"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43" w:rsidRPr="001A2662" w:rsidRDefault="00B86D43" w:rsidP="00D4003E">
    <w:pPr>
      <w:ind w:left="1440" w:firstLine="720"/>
      <w:rPr>
        <w:rFonts w:ascii="Trebuchet MS" w:hAnsi="Trebuchet MS"/>
        <w:b/>
        <w:sz w:val="20"/>
        <w:szCs w:val="20"/>
      </w:rPr>
    </w:pPr>
  </w:p>
  <w:p w:rsidR="00B86D43" w:rsidRDefault="00B86D43"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rsidR="00B86D43" w:rsidRDefault="00B86D43" w:rsidP="00D4003E">
    <w:pPr>
      <w:pStyle w:val="Default"/>
      <w:framePr w:w="1648" w:wrap="auto" w:vAnchor="page" w:hAnchor="page" w:x="9812" w:y="16161"/>
    </w:pPr>
  </w:p>
  <w:bookmarkEnd w:id="1"/>
  <w:bookmarkEnd w:id="2"/>
  <w:bookmarkEnd w:id="3"/>
  <w:p w:rsidR="00B86D43" w:rsidRDefault="00B86D43" w:rsidP="00D4003E">
    <w:pPr>
      <w:pStyle w:val="Header"/>
      <w:jc w:val="center"/>
    </w:pPr>
    <w:r>
      <w:rPr>
        <w:noProof/>
        <w:lang w:val="en-GB" w:eastAsia="en-GB"/>
      </w:rPr>
      <w:drawing>
        <wp:inline distT="0" distB="0" distL="0" distR="0" wp14:anchorId="29C1DF44" wp14:editId="0D9EEB61">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rsidR="00B86D43" w:rsidRPr="00D4003E" w:rsidRDefault="00B86D43"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A1493C"/>
    <w:multiLevelType w:val="hybridMultilevel"/>
    <w:tmpl w:val="ACE66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07BB7"/>
    <w:rsid w:val="00011660"/>
    <w:rsid w:val="00013375"/>
    <w:rsid w:val="0002685C"/>
    <w:rsid w:val="0004257F"/>
    <w:rsid w:val="00085BB7"/>
    <w:rsid w:val="000D4C7F"/>
    <w:rsid w:val="000D6895"/>
    <w:rsid w:val="001067BC"/>
    <w:rsid w:val="00132370"/>
    <w:rsid w:val="00135FA1"/>
    <w:rsid w:val="00180C57"/>
    <w:rsid w:val="001A2662"/>
    <w:rsid w:val="001F3858"/>
    <w:rsid w:val="00295CD9"/>
    <w:rsid w:val="002E498E"/>
    <w:rsid w:val="003130B1"/>
    <w:rsid w:val="00316CEB"/>
    <w:rsid w:val="0034603A"/>
    <w:rsid w:val="00371CD9"/>
    <w:rsid w:val="00394296"/>
    <w:rsid w:val="003B512C"/>
    <w:rsid w:val="004056B7"/>
    <w:rsid w:val="00420CF2"/>
    <w:rsid w:val="00427035"/>
    <w:rsid w:val="004416B2"/>
    <w:rsid w:val="004469FB"/>
    <w:rsid w:val="00450495"/>
    <w:rsid w:val="004641F6"/>
    <w:rsid w:val="004B6111"/>
    <w:rsid w:val="004C3908"/>
    <w:rsid w:val="004E2FFB"/>
    <w:rsid w:val="004E7110"/>
    <w:rsid w:val="005167C9"/>
    <w:rsid w:val="00530D1A"/>
    <w:rsid w:val="005615D5"/>
    <w:rsid w:val="00567973"/>
    <w:rsid w:val="00581838"/>
    <w:rsid w:val="00584549"/>
    <w:rsid w:val="005A29AA"/>
    <w:rsid w:val="005A3F28"/>
    <w:rsid w:val="005D6848"/>
    <w:rsid w:val="005F325F"/>
    <w:rsid w:val="0062262E"/>
    <w:rsid w:val="00632A85"/>
    <w:rsid w:val="00637F91"/>
    <w:rsid w:val="0066153D"/>
    <w:rsid w:val="00673629"/>
    <w:rsid w:val="006855DD"/>
    <w:rsid w:val="00686680"/>
    <w:rsid w:val="00687CA4"/>
    <w:rsid w:val="006B6295"/>
    <w:rsid w:val="006E5775"/>
    <w:rsid w:val="006E7B0F"/>
    <w:rsid w:val="006F5B83"/>
    <w:rsid w:val="007517B2"/>
    <w:rsid w:val="007A3332"/>
    <w:rsid w:val="007D2EAC"/>
    <w:rsid w:val="007D474A"/>
    <w:rsid w:val="007E6A4E"/>
    <w:rsid w:val="007E72BF"/>
    <w:rsid w:val="00850ECF"/>
    <w:rsid w:val="00870E07"/>
    <w:rsid w:val="008A11BF"/>
    <w:rsid w:val="008A75DE"/>
    <w:rsid w:val="008B78BF"/>
    <w:rsid w:val="008C532F"/>
    <w:rsid w:val="0090307C"/>
    <w:rsid w:val="00926163"/>
    <w:rsid w:val="0092649C"/>
    <w:rsid w:val="00985DC7"/>
    <w:rsid w:val="0098650E"/>
    <w:rsid w:val="009D7F90"/>
    <w:rsid w:val="00A14C13"/>
    <w:rsid w:val="00B34677"/>
    <w:rsid w:val="00B5365D"/>
    <w:rsid w:val="00B836D0"/>
    <w:rsid w:val="00B86D43"/>
    <w:rsid w:val="00B9281F"/>
    <w:rsid w:val="00B95A90"/>
    <w:rsid w:val="00BA025D"/>
    <w:rsid w:val="00BB0C27"/>
    <w:rsid w:val="00BE2386"/>
    <w:rsid w:val="00BE6270"/>
    <w:rsid w:val="00BE7A3B"/>
    <w:rsid w:val="00BF22B1"/>
    <w:rsid w:val="00CA7176"/>
    <w:rsid w:val="00CA7A74"/>
    <w:rsid w:val="00CD4A66"/>
    <w:rsid w:val="00CE740B"/>
    <w:rsid w:val="00D06266"/>
    <w:rsid w:val="00D13F72"/>
    <w:rsid w:val="00D17730"/>
    <w:rsid w:val="00D315FF"/>
    <w:rsid w:val="00D4003E"/>
    <w:rsid w:val="00D41F82"/>
    <w:rsid w:val="00D8138D"/>
    <w:rsid w:val="00DD34BE"/>
    <w:rsid w:val="00E304C9"/>
    <w:rsid w:val="00E57605"/>
    <w:rsid w:val="00E96C1F"/>
    <w:rsid w:val="00EA15B4"/>
    <w:rsid w:val="00EE1BEC"/>
    <w:rsid w:val="00EF114C"/>
    <w:rsid w:val="00F15113"/>
    <w:rsid w:val="00F36BBA"/>
    <w:rsid w:val="00F46AC2"/>
    <w:rsid w:val="00FA40F6"/>
    <w:rsid w:val="00FB74AC"/>
    <w:rsid w:val="00FC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CE556747-D1ED-475C-B57D-570B3B3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Decision (Preliminary Matter)</vt:lpstr>
    </vt:vector>
  </TitlesOfParts>
  <Company>Microsoft Corporation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(Preliminary Matter)</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Richardson, Amy</cp:lastModifiedBy>
  <cp:revision>2</cp:revision>
  <dcterms:created xsi:type="dcterms:W3CDTF">2021-12-02T10:17:00Z</dcterms:created>
  <dcterms:modified xsi:type="dcterms:W3CDTF">2021-12-02T10:17:00Z</dcterms:modified>
</cp:coreProperties>
</file>