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7E" w:rsidRDefault="005A707E" w:rsidP="006526AC">
      <w:pPr>
        <w:jc w:val="center"/>
        <w:rPr>
          <w:b/>
        </w:rPr>
      </w:pPr>
    </w:p>
    <w:p w:rsidR="008319F7" w:rsidRPr="00CB1915" w:rsidRDefault="008319F7" w:rsidP="008319F7">
      <w:pPr>
        <w:jc w:val="center"/>
        <w:rPr>
          <w:rFonts w:ascii="Arial" w:hAnsi="Arial"/>
        </w:rPr>
      </w:pPr>
      <w:r w:rsidRPr="00816136">
        <w:rPr>
          <w:rFonts w:ascii="Arial" w:hAnsi="Arial"/>
          <w:b/>
          <w:bCs/>
        </w:rPr>
        <w:t>DE</w:t>
      </w:r>
      <w:smartTag w:uri="urn:schemas-microsoft-com:office:smarttags" w:element="PersonName">
        <w:r w:rsidRPr="00816136">
          <w:rPr>
            <w:rFonts w:ascii="Arial" w:hAnsi="Arial"/>
            <w:b/>
            <w:bCs/>
          </w:rPr>
          <w:t>CIS</w:t>
        </w:r>
      </w:smartTag>
      <w:r w:rsidRPr="00816136">
        <w:rPr>
          <w:rFonts w:ascii="Arial" w:hAnsi="Arial"/>
          <w:b/>
          <w:bCs/>
        </w:rPr>
        <w:t>ION OF THE TRIBUNAL</w:t>
      </w:r>
    </w:p>
    <w:p w:rsidR="005A707E" w:rsidRDefault="005A707E" w:rsidP="006526AC">
      <w:pPr>
        <w:pBdr>
          <w:bottom w:val="single" w:sz="12" w:space="1" w:color="auto"/>
        </w:pBdr>
        <w:jc w:val="center"/>
        <w:rPr>
          <w:b/>
        </w:rPr>
      </w:pPr>
    </w:p>
    <w:p w:rsidR="005A707E" w:rsidRDefault="005A707E" w:rsidP="006526AC">
      <w:pPr>
        <w:jc w:val="center"/>
        <w:rPr>
          <w:b/>
        </w:rPr>
      </w:pPr>
    </w:p>
    <w:p w:rsidR="005A707E" w:rsidRDefault="005A707E" w:rsidP="006526AC">
      <w:pPr>
        <w:rPr>
          <w:b/>
        </w:rPr>
      </w:pPr>
    </w:p>
    <w:p w:rsidR="005A707E" w:rsidRDefault="0065115A" w:rsidP="006526AC">
      <w:pPr>
        <w:numPr>
          <w:ilvl w:val="0"/>
          <w:numId w:val="2"/>
        </w:numPr>
        <w:spacing w:after="0" w:line="240" w:lineRule="auto"/>
        <w:jc w:val="both"/>
        <w:rPr>
          <w:b/>
        </w:rPr>
      </w:pPr>
      <w:bookmarkStart w:id="0" w:name="_GoBack"/>
      <w:r>
        <w:rPr>
          <w:b/>
        </w:rPr>
        <w:t>Claim</w:t>
      </w:r>
    </w:p>
    <w:bookmarkEnd w:id="0"/>
    <w:p w:rsidR="005A707E" w:rsidRDefault="005A707E" w:rsidP="006526AC">
      <w:pPr>
        <w:jc w:val="both"/>
        <w:rPr>
          <w:b/>
        </w:rPr>
      </w:pPr>
    </w:p>
    <w:p w:rsidR="005A707E" w:rsidRDefault="005A707E" w:rsidP="006526AC">
      <w:pPr>
        <w:jc w:val="both"/>
      </w:pPr>
      <w:r>
        <w:t xml:space="preserve">A </w:t>
      </w:r>
      <w:r w:rsidR="0065115A">
        <w:t>Claim</w:t>
      </w:r>
      <w:r>
        <w:t>, dated 21 March 2012, was received by the Tribunal’s Secretariat on 27 March 2012 alleging unlawful disability discrimination on t</w:t>
      </w:r>
      <w:r w:rsidR="006C67C2">
        <w:t>he part of the Responsible Body</w:t>
      </w:r>
      <w:r>
        <w:t>.</w:t>
      </w:r>
    </w:p>
    <w:p w:rsidR="005A707E" w:rsidRDefault="005A707E" w:rsidP="006526AC">
      <w:pPr>
        <w:jc w:val="both"/>
      </w:pPr>
    </w:p>
    <w:p w:rsidR="005A707E" w:rsidRDefault="005A707E" w:rsidP="006526AC">
      <w:pPr>
        <w:numPr>
          <w:ilvl w:val="0"/>
          <w:numId w:val="2"/>
        </w:numPr>
        <w:spacing w:after="0" w:line="240" w:lineRule="auto"/>
        <w:jc w:val="both"/>
        <w:rPr>
          <w:b/>
        </w:rPr>
      </w:pPr>
      <w:r>
        <w:rPr>
          <w:b/>
        </w:rPr>
        <w:t>Summary of the Decision</w:t>
      </w:r>
    </w:p>
    <w:p w:rsidR="005A707E" w:rsidRDefault="005A707E" w:rsidP="006526AC">
      <w:pPr>
        <w:jc w:val="both"/>
        <w:rPr>
          <w:b/>
        </w:rPr>
      </w:pPr>
    </w:p>
    <w:p w:rsidR="005A707E" w:rsidRDefault="005A707E" w:rsidP="006526AC">
      <w:pPr>
        <w:jc w:val="both"/>
      </w:pPr>
      <w:r>
        <w:t xml:space="preserve">The claim succeeds by the consent of the parties, with the approval of the Tribunal. An order of </w:t>
      </w:r>
      <w:proofErr w:type="spellStart"/>
      <w:r>
        <w:t>declarator</w:t>
      </w:r>
      <w:proofErr w:type="spellEnd"/>
      <w:r>
        <w:t xml:space="preserve"> will be made, as set out below.</w:t>
      </w:r>
    </w:p>
    <w:p w:rsidR="005A707E" w:rsidRDefault="005A707E" w:rsidP="006526AC">
      <w:pPr>
        <w:jc w:val="both"/>
      </w:pPr>
    </w:p>
    <w:p w:rsidR="005A707E" w:rsidRDefault="005A707E" w:rsidP="006526AC">
      <w:pPr>
        <w:numPr>
          <w:ilvl w:val="0"/>
          <w:numId w:val="2"/>
        </w:numPr>
        <w:spacing w:after="0" w:line="240" w:lineRule="auto"/>
        <w:jc w:val="both"/>
        <w:rPr>
          <w:b/>
        </w:rPr>
      </w:pPr>
      <w:r>
        <w:rPr>
          <w:b/>
        </w:rPr>
        <w:t>Procedural History</w:t>
      </w:r>
    </w:p>
    <w:p w:rsidR="005A707E" w:rsidRDefault="005A707E" w:rsidP="006526AC">
      <w:pPr>
        <w:jc w:val="both"/>
        <w:rPr>
          <w:b/>
        </w:rPr>
      </w:pPr>
    </w:p>
    <w:p w:rsidR="005A707E" w:rsidRDefault="005A707E" w:rsidP="006526AC">
      <w:pPr>
        <w:jc w:val="both"/>
      </w:pPr>
      <w:r>
        <w:t xml:space="preserve">The </w:t>
      </w:r>
      <w:r w:rsidR="0065115A">
        <w:t>Claim</w:t>
      </w:r>
      <w:r>
        <w:t xml:space="preserve"> was dated 21 March 2012 and was received by the Tribunal’s secretariat on 27 March 2012. The convener made directions on 27 March 2012 </w:t>
      </w:r>
      <w:r>
        <w:rPr>
          <w:i/>
          <w:iCs/>
        </w:rPr>
        <w:t>inter alia</w:t>
      </w:r>
      <w:r>
        <w:t xml:space="preserve"> asking the Claimant to set out more fully the claim being advanced and to set out detailed grounds to support the application for there to be a just and equitable extension of time pursuant to</w:t>
      </w:r>
      <w:r w:rsidRPr="00746DB1">
        <w:t xml:space="preserve"> Part 3, Schedule 17 </w:t>
      </w:r>
      <w:r w:rsidRPr="00746DB1">
        <w:rPr>
          <w:u w:val="single"/>
        </w:rPr>
        <w:t>Equality Act 2010</w:t>
      </w:r>
      <w:r w:rsidRPr="00746DB1">
        <w:t xml:space="preserve"> and Rule 5 (4) and (6) of the </w:t>
      </w:r>
      <w:r w:rsidRPr="00746DB1">
        <w:rPr>
          <w:u w:val="single"/>
        </w:rPr>
        <w:t>Additional Support Needs Tribunals for Scotland (Disability Claims Procedure) Rules 2011</w:t>
      </w:r>
      <w:r w:rsidRPr="00746DB1">
        <w:t xml:space="preserve"> (The Tribunal Rules)</w:t>
      </w:r>
      <w:r>
        <w:t>.</w:t>
      </w:r>
    </w:p>
    <w:p w:rsidR="005A707E" w:rsidRDefault="005A707E" w:rsidP="00E578AA">
      <w:pPr>
        <w:jc w:val="both"/>
      </w:pPr>
      <w:r>
        <w:t xml:space="preserve">The Claimant failed to comply with this direction and outside the period for compliance it sought an extension of another ten days. On 13 April 2012 the convener partly acceded to the Claimant’s motion and granted an additional period until 12 pm on 18 April 2012 for compliance with the earlier directions. The Claimant filed and served further information on 18 April 2012 but failed to set out detailed grounds in relation to the just and equitable extension of time. </w:t>
      </w:r>
    </w:p>
    <w:p w:rsidR="005A707E" w:rsidRDefault="005A707E" w:rsidP="00664014">
      <w:pPr>
        <w:jc w:val="both"/>
      </w:pPr>
      <w:r>
        <w:t xml:space="preserve">On 20 April 2012 the convener refused to strike out the Claimant’s claim but directed that the Responsible Body’s motion to strike out and the Claimant’s motion for an extension of time on just and equitable principles be heard together before a Tribunal. The Responsible Body was directed to file and serve its defence to the claim for unlawful disability discrimination, but not its evidence. </w:t>
      </w:r>
    </w:p>
    <w:p w:rsidR="005A707E" w:rsidRDefault="005A707E" w:rsidP="000608B5">
      <w:pPr>
        <w:jc w:val="both"/>
      </w:pPr>
      <w:r>
        <w:t xml:space="preserve">At the hearing, which took place on 8 June 2012 the parties drafted an agreed statement of facts. The convener </w:t>
      </w:r>
      <w:proofErr w:type="gramStart"/>
      <w:r>
        <w:t>raised</w:t>
      </w:r>
      <w:proofErr w:type="gramEnd"/>
      <w:r>
        <w:t xml:space="preserve">, solely as an observation, that the Responsible Body’s pleaded case (see </w:t>
      </w:r>
      <w:r>
        <w:lastRenderedPageBreak/>
        <w:t xml:space="preserve">paragraph 7 of its Response) appeared to amount to a breach of the indirect discrimination prohibition as set out in section 19 of the </w:t>
      </w:r>
      <w:r>
        <w:rPr>
          <w:u w:val="single"/>
        </w:rPr>
        <w:t>Equality Act 2010</w:t>
      </w:r>
      <w:r>
        <w:t xml:space="preserve">. </w:t>
      </w:r>
    </w:p>
    <w:p w:rsidR="005A707E" w:rsidRDefault="006C67C2" w:rsidP="00E578AA">
      <w:pPr>
        <w:jc w:val="both"/>
      </w:pPr>
      <w:r>
        <w:t>Solicitor for Responsible Body</w:t>
      </w:r>
      <w:r w:rsidR="005A707E">
        <w:t xml:space="preserve">, who appeared for the Responsible Body, requested a brief adjournment and took instructions. He then accepted before the Tribunal there had been a breach of the prohibition in relation to indirect discrimination in relation to the manner in which the Responsible Body advertised the spare places for the school trip to </w:t>
      </w:r>
      <w:smartTag w:uri="urn:schemas-microsoft-com:office:smarttags" w:element="place">
        <w:smartTag w:uri="urn:schemas-microsoft-com:office:smarttags" w:element="City">
          <w:r w:rsidR="005A707E">
            <w:t>Paris</w:t>
          </w:r>
        </w:smartTag>
      </w:smartTag>
      <w:r w:rsidR="005A707E">
        <w:t xml:space="preserve">. Given this admission, </w:t>
      </w:r>
      <w:r>
        <w:t>Solicitor for Claimant</w:t>
      </w:r>
      <w:r w:rsidR="005A707E">
        <w:t xml:space="preserve">, who appeared for the Claimants, accepted this admission and did not seek to pursue the matters in his clients’ pleaded case. The parties agreed an order for </w:t>
      </w:r>
      <w:proofErr w:type="spellStart"/>
      <w:r w:rsidR="005A707E">
        <w:t>declarator</w:t>
      </w:r>
      <w:proofErr w:type="spellEnd"/>
      <w:r w:rsidR="005A707E">
        <w:t xml:space="preserve"> should be made and they drafted the terms of a proposed order for </w:t>
      </w:r>
      <w:proofErr w:type="spellStart"/>
      <w:r w:rsidR="005A707E">
        <w:t>declarator</w:t>
      </w:r>
      <w:proofErr w:type="spellEnd"/>
      <w:r w:rsidR="005A707E">
        <w:t>.</w:t>
      </w:r>
    </w:p>
    <w:p w:rsidR="005A707E" w:rsidRDefault="005A707E" w:rsidP="00E578AA">
      <w:pPr>
        <w:jc w:val="both"/>
      </w:pPr>
    </w:p>
    <w:p w:rsidR="005A707E" w:rsidRDefault="005A707E" w:rsidP="006526AC">
      <w:pPr>
        <w:numPr>
          <w:ilvl w:val="0"/>
          <w:numId w:val="2"/>
        </w:numPr>
        <w:spacing w:after="0" w:line="240" w:lineRule="auto"/>
        <w:jc w:val="both"/>
      </w:pPr>
      <w:r>
        <w:rPr>
          <w:b/>
        </w:rPr>
        <w:t xml:space="preserve">Summary of </w:t>
      </w:r>
      <w:r w:rsidRPr="000F42C9">
        <w:rPr>
          <w:b/>
        </w:rPr>
        <w:t xml:space="preserve"> Facts</w:t>
      </w:r>
      <w:r>
        <w:rPr>
          <w:b/>
        </w:rPr>
        <w:t xml:space="preserve"> Found</w:t>
      </w:r>
    </w:p>
    <w:p w:rsidR="005A707E" w:rsidRPr="00746DB1" w:rsidRDefault="005A707E" w:rsidP="00746DB1">
      <w:pPr>
        <w:jc w:val="both"/>
      </w:pPr>
    </w:p>
    <w:p w:rsidR="005A707E" w:rsidRDefault="005A707E" w:rsidP="00746DB1">
      <w:r>
        <w:t>The parties drafted a statement of agreed facts. Both solicitors signed the statement and its contents are not repeated herein. The statement of agreed facts is appended to this decision as appendix One.</w:t>
      </w:r>
    </w:p>
    <w:p w:rsidR="005A707E" w:rsidRDefault="005A707E" w:rsidP="00746DB1"/>
    <w:p w:rsidR="005A707E" w:rsidRDefault="005A707E" w:rsidP="00805B4D">
      <w:pPr>
        <w:pStyle w:val="ListParagraph"/>
        <w:numPr>
          <w:ilvl w:val="0"/>
          <w:numId w:val="2"/>
        </w:numPr>
        <w:rPr>
          <w:b/>
          <w:bCs/>
        </w:rPr>
      </w:pPr>
      <w:r w:rsidRPr="00805B4D">
        <w:rPr>
          <w:b/>
          <w:bCs/>
        </w:rPr>
        <w:t>Reasons for Decision</w:t>
      </w:r>
    </w:p>
    <w:p w:rsidR="005A707E" w:rsidRDefault="005A707E" w:rsidP="00805B4D">
      <w:pPr>
        <w:rPr>
          <w:b/>
          <w:bCs/>
        </w:rPr>
      </w:pPr>
    </w:p>
    <w:p w:rsidR="005A707E" w:rsidRDefault="005A707E" w:rsidP="00664014">
      <w:pPr>
        <w:pStyle w:val="ListParagraph"/>
        <w:numPr>
          <w:ilvl w:val="0"/>
          <w:numId w:val="4"/>
        </w:numPr>
        <w:jc w:val="both"/>
      </w:pPr>
      <w:r>
        <w:t xml:space="preserve">The hearing listed on 8 June 2012 was listed to determine the Responsible Body’s motion for the claim to be struck out and the Claimant’s motion for a just and equitable extension of time pursuant </w:t>
      </w:r>
      <w:r w:rsidRPr="00746DB1">
        <w:t xml:space="preserve">to Part 3, Schedule 17 </w:t>
      </w:r>
      <w:r w:rsidRPr="00746DB1">
        <w:rPr>
          <w:u w:val="single"/>
        </w:rPr>
        <w:t>Equality Act 2010</w:t>
      </w:r>
      <w:r w:rsidRPr="00746DB1">
        <w:t xml:space="preserve"> and Rule 5 (4) and (6) of the </w:t>
      </w:r>
      <w:r>
        <w:t xml:space="preserve">Tribunal Rules. </w:t>
      </w:r>
    </w:p>
    <w:p w:rsidR="005A707E" w:rsidRDefault="005A707E" w:rsidP="00664014">
      <w:pPr>
        <w:pStyle w:val="ListParagraph"/>
        <w:numPr>
          <w:ilvl w:val="0"/>
          <w:numId w:val="4"/>
        </w:numPr>
        <w:jc w:val="both"/>
      </w:pPr>
      <w:r>
        <w:t xml:space="preserve">The parties agreed at this hearing, which was not set down as a final hearing, that there had been indirect discrimination contrary to s. 19 </w:t>
      </w:r>
      <w:r w:rsidRPr="00B343F5">
        <w:rPr>
          <w:u w:val="single"/>
        </w:rPr>
        <w:t>Equality Act 2010</w:t>
      </w:r>
      <w:r>
        <w:t xml:space="preserve"> in the manner by which the Responsible Body’s staff announced spare places, in October 2010, on the school trip which took place in Paris in June 2011.</w:t>
      </w:r>
    </w:p>
    <w:p w:rsidR="005A707E" w:rsidRDefault="005A707E" w:rsidP="00664014">
      <w:pPr>
        <w:pStyle w:val="ListParagraph"/>
        <w:numPr>
          <w:ilvl w:val="0"/>
          <w:numId w:val="4"/>
        </w:numPr>
        <w:jc w:val="both"/>
      </w:pPr>
      <w:r>
        <w:t xml:space="preserve">The Tribunal’s reasons are therefore short as the order made below is an order by consent in relation to which both parties are in agreement. However, as the Tribunal is being asked to make an order for </w:t>
      </w:r>
      <w:proofErr w:type="spellStart"/>
      <w:r>
        <w:t>declarator</w:t>
      </w:r>
      <w:proofErr w:type="spellEnd"/>
      <w:r>
        <w:t xml:space="preserve">, the following brief reasons are set out. </w:t>
      </w:r>
    </w:p>
    <w:p w:rsidR="005A707E" w:rsidRDefault="005A707E" w:rsidP="00664014">
      <w:pPr>
        <w:pStyle w:val="ListParagraph"/>
        <w:numPr>
          <w:ilvl w:val="0"/>
          <w:numId w:val="4"/>
        </w:numPr>
        <w:jc w:val="both"/>
      </w:pPr>
      <w:r>
        <w:t xml:space="preserve">The concession made, very properly, by </w:t>
      </w:r>
      <w:r w:rsidR="006C67C2">
        <w:t>Solicitor for Responsible Body</w:t>
      </w:r>
      <w:r>
        <w:t xml:space="preserve"> on behalf of the Responsible Body was accepted by the Tribunal as a withdrawal of opposition pursuant to Rule 12 (1) (b) of the Tribunal Rules. </w:t>
      </w:r>
      <w:r w:rsidR="006C67C2">
        <w:t>Solicitor for Responsible Body</w:t>
      </w:r>
      <w:r>
        <w:t xml:space="preserve"> in his clear position before the Tribunal was not withdrawing his opposition to the entire claim made by the Claimants. However in the light of </w:t>
      </w:r>
      <w:r w:rsidR="006C67C2">
        <w:t>Solicitor for Responsible Body</w:t>
      </w:r>
      <w:r>
        <w:t xml:space="preserve">’s concession, </w:t>
      </w:r>
      <w:r w:rsidR="006C67C2">
        <w:t>Solicitor for Claimant</w:t>
      </w:r>
      <w:r>
        <w:t xml:space="preserve"> on behalf of the Claimants did not seek to pursue any of the other averments made in the claim. </w:t>
      </w:r>
    </w:p>
    <w:p w:rsidR="005A707E" w:rsidRDefault="005A707E" w:rsidP="00664014">
      <w:pPr>
        <w:pStyle w:val="ListParagraph"/>
        <w:numPr>
          <w:ilvl w:val="0"/>
          <w:numId w:val="4"/>
        </w:numPr>
        <w:jc w:val="both"/>
      </w:pPr>
      <w:r>
        <w:t xml:space="preserve">There is no formal procedure in the Tribunal Rules for the Tribunal to make an order by consent. However given the withdrawal of opposition to the claim as advanced by the Claimant at the hearing the parties were in agreement and the order sought was made by consent. </w:t>
      </w:r>
    </w:p>
    <w:p w:rsidR="005A707E" w:rsidRDefault="005A707E" w:rsidP="00664014">
      <w:pPr>
        <w:pStyle w:val="ListParagraph"/>
        <w:numPr>
          <w:ilvl w:val="0"/>
          <w:numId w:val="4"/>
        </w:numPr>
        <w:jc w:val="both"/>
      </w:pPr>
      <w:r>
        <w:lastRenderedPageBreak/>
        <w:t xml:space="preserve">It follows, that as the Tribunal only has jurisdiction to hear a claim received by the Secretariat before the end of the period of six months beginning when the act complained of was done or by there being a just and equitable extension of time, the Tribunal accepts time should be extended to permit the Tribunal to make the order agreed by the parties. The Tribunal therefore considers it just and equitable to extend time pursuant to rule 5 (6) because the parties accepted it was correct for the Tribunal to make an order for </w:t>
      </w:r>
      <w:proofErr w:type="spellStart"/>
      <w:r>
        <w:t>declarator</w:t>
      </w:r>
      <w:proofErr w:type="spellEnd"/>
      <w:r>
        <w:t xml:space="preserve">. </w:t>
      </w:r>
    </w:p>
    <w:p w:rsidR="005A707E" w:rsidRDefault="005A707E" w:rsidP="00664014">
      <w:pPr>
        <w:pStyle w:val="ListParagraph"/>
        <w:numPr>
          <w:ilvl w:val="0"/>
          <w:numId w:val="4"/>
        </w:numPr>
        <w:jc w:val="both"/>
      </w:pPr>
      <w:r>
        <w:t>Section 19 of the 2010 Act states:</w:t>
      </w:r>
    </w:p>
    <w:p w:rsidR="005A707E" w:rsidRDefault="005A707E" w:rsidP="00664014">
      <w:pPr>
        <w:pStyle w:val="ListParagraph"/>
        <w:jc w:val="both"/>
      </w:pPr>
    </w:p>
    <w:p w:rsidR="005A707E" w:rsidRPr="00C3044A" w:rsidRDefault="005A707E" w:rsidP="00664014">
      <w:pPr>
        <w:spacing w:after="0" w:line="240" w:lineRule="auto"/>
        <w:ind w:left="1440"/>
        <w:jc w:val="both"/>
        <w:rPr>
          <w:rFonts w:ascii="Verdana" w:hAnsi="Verdana" w:cs="Times New Roman"/>
          <w:i/>
          <w:iCs/>
          <w:sz w:val="19"/>
          <w:szCs w:val="19"/>
        </w:rPr>
      </w:pPr>
      <w:r w:rsidRPr="00C3044A">
        <w:rPr>
          <w:rFonts w:ascii="Verdana" w:hAnsi="Verdana" w:cs="Times New Roman"/>
          <w:i/>
          <w:iCs/>
          <w:sz w:val="19"/>
          <w:szCs w:val="19"/>
        </w:rPr>
        <w:t>(1) A person (A) discriminates against another (B) if A applies to B a provision, criterion or practice which is discriminatory in relation to a relevant protected characteristic of B's.</w:t>
      </w:r>
    </w:p>
    <w:p w:rsidR="005A707E" w:rsidRPr="00C3044A" w:rsidRDefault="005A707E" w:rsidP="00664014">
      <w:pPr>
        <w:spacing w:after="0" w:line="240" w:lineRule="auto"/>
        <w:ind w:left="1440"/>
        <w:jc w:val="both"/>
        <w:rPr>
          <w:rFonts w:ascii="Verdana" w:hAnsi="Verdana" w:cs="Times New Roman"/>
          <w:i/>
          <w:iCs/>
          <w:sz w:val="19"/>
          <w:szCs w:val="19"/>
        </w:rPr>
      </w:pPr>
      <w:r w:rsidRPr="00C3044A">
        <w:rPr>
          <w:rFonts w:ascii="Verdana" w:hAnsi="Verdana" w:cs="Times New Roman"/>
          <w:i/>
          <w:iCs/>
          <w:sz w:val="19"/>
          <w:szCs w:val="19"/>
        </w:rPr>
        <w:t>(2) For the purposes of subsection (1), a provision, criterion or practice is discriminatory in relation to a relevant protected characteristic of B's if—</w:t>
      </w:r>
    </w:p>
    <w:p w:rsidR="005A707E" w:rsidRPr="00C3044A" w:rsidRDefault="005A707E" w:rsidP="00664014">
      <w:pPr>
        <w:spacing w:after="0" w:line="240" w:lineRule="auto"/>
        <w:ind w:left="1440"/>
        <w:jc w:val="both"/>
        <w:rPr>
          <w:rFonts w:ascii="Verdana" w:hAnsi="Verdana" w:cs="Times New Roman"/>
          <w:i/>
          <w:iCs/>
          <w:sz w:val="19"/>
          <w:szCs w:val="19"/>
        </w:rPr>
      </w:pPr>
      <w:r w:rsidRPr="00C3044A">
        <w:rPr>
          <w:rFonts w:ascii="Verdana" w:hAnsi="Verdana" w:cs="Times New Roman"/>
          <w:i/>
          <w:iCs/>
          <w:sz w:val="19"/>
          <w:szCs w:val="19"/>
        </w:rPr>
        <w:t>(a) A applies, or would apply, it to persons with whom B does not share the characteristic,</w:t>
      </w:r>
    </w:p>
    <w:p w:rsidR="005A707E" w:rsidRPr="00C3044A" w:rsidRDefault="005A707E" w:rsidP="00664014">
      <w:pPr>
        <w:spacing w:after="0" w:line="240" w:lineRule="auto"/>
        <w:ind w:left="1440"/>
        <w:jc w:val="both"/>
        <w:rPr>
          <w:rFonts w:ascii="Verdana" w:hAnsi="Verdana" w:cs="Times New Roman"/>
          <w:i/>
          <w:iCs/>
          <w:sz w:val="19"/>
          <w:szCs w:val="19"/>
        </w:rPr>
      </w:pPr>
      <w:r w:rsidRPr="00C3044A">
        <w:rPr>
          <w:rFonts w:ascii="Verdana" w:hAnsi="Verdana" w:cs="Times New Roman"/>
          <w:i/>
          <w:iCs/>
          <w:sz w:val="19"/>
          <w:szCs w:val="19"/>
        </w:rPr>
        <w:t xml:space="preserve">(b) </w:t>
      </w:r>
      <w:proofErr w:type="gramStart"/>
      <w:r w:rsidRPr="00C3044A">
        <w:rPr>
          <w:rFonts w:ascii="Verdana" w:hAnsi="Verdana" w:cs="Times New Roman"/>
          <w:i/>
          <w:iCs/>
          <w:sz w:val="19"/>
          <w:szCs w:val="19"/>
        </w:rPr>
        <w:t>it</w:t>
      </w:r>
      <w:proofErr w:type="gramEnd"/>
      <w:r w:rsidRPr="00C3044A">
        <w:rPr>
          <w:rFonts w:ascii="Verdana" w:hAnsi="Verdana" w:cs="Times New Roman"/>
          <w:i/>
          <w:iCs/>
          <w:sz w:val="19"/>
          <w:szCs w:val="19"/>
        </w:rPr>
        <w:t xml:space="preserve"> puts, or would put, persons with whom B shares the characteristic at a particular disadvantage when compared with persons with whom B does not share it,</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(c) </w:t>
      </w:r>
      <w:proofErr w:type="gramStart"/>
      <w:r w:rsidRPr="00C3044A">
        <w:rPr>
          <w:rFonts w:ascii="Verdana" w:hAnsi="Verdana" w:cs="Times New Roman"/>
          <w:i/>
          <w:iCs/>
          <w:sz w:val="19"/>
          <w:szCs w:val="19"/>
        </w:rPr>
        <w:t>it</w:t>
      </w:r>
      <w:proofErr w:type="gramEnd"/>
      <w:r w:rsidRPr="00C3044A">
        <w:rPr>
          <w:rFonts w:ascii="Verdana" w:hAnsi="Verdana" w:cs="Times New Roman"/>
          <w:i/>
          <w:iCs/>
          <w:sz w:val="19"/>
          <w:szCs w:val="19"/>
        </w:rPr>
        <w:t xml:space="preserve"> puts, or would put, B at that disadvantage, and</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(d) A cannot show it to be a proportionate means of achieving a legitimate aim.</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(3) The relevant protected characteristics are—</w:t>
      </w:r>
    </w:p>
    <w:p w:rsidR="005A707E" w:rsidRPr="00C3044A" w:rsidRDefault="005A707E" w:rsidP="00664014">
      <w:pPr>
        <w:spacing w:after="75" w:line="240" w:lineRule="auto"/>
        <w:ind w:left="1440"/>
        <w:rPr>
          <w:rFonts w:ascii="Verdana" w:hAnsi="Verdana" w:cs="Times New Roman"/>
          <w:i/>
          <w:iCs/>
          <w:sz w:val="19"/>
          <w:szCs w:val="19"/>
        </w:rPr>
      </w:pPr>
      <w:proofErr w:type="gramStart"/>
      <w:r w:rsidRPr="00C3044A">
        <w:rPr>
          <w:rFonts w:ascii="Verdana" w:hAnsi="Verdana" w:cs="Times New Roman"/>
          <w:i/>
          <w:iCs/>
          <w:sz w:val="19"/>
          <w:szCs w:val="19"/>
        </w:rPr>
        <w:t>age</w:t>
      </w:r>
      <w:proofErr w:type="gramEnd"/>
      <w:r w:rsidRPr="00C3044A">
        <w:rPr>
          <w:rFonts w:ascii="Verdana" w:hAnsi="Verdana" w:cs="Times New Roman"/>
          <w:i/>
          <w:iCs/>
          <w:sz w:val="19"/>
          <w:szCs w:val="19"/>
        </w:rPr>
        <w:t>;</w:t>
      </w:r>
      <w:r w:rsidRPr="00C3044A">
        <w:rPr>
          <w:rFonts w:ascii="Verdana" w:hAnsi="Verdana" w:cs="Times New Roman"/>
          <w:i/>
          <w:iCs/>
          <w:sz w:val="19"/>
          <w:szCs w:val="19"/>
        </w:rPr>
        <w:br/>
        <w:t>disability;</w:t>
      </w:r>
      <w:r w:rsidRPr="00C3044A">
        <w:rPr>
          <w:rFonts w:ascii="Verdana" w:hAnsi="Verdana" w:cs="Times New Roman"/>
          <w:i/>
          <w:iCs/>
          <w:sz w:val="19"/>
          <w:szCs w:val="19"/>
        </w:rPr>
        <w:br/>
        <w:t>gender reassignment;</w:t>
      </w:r>
      <w:r w:rsidRPr="00C3044A">
        <w:rPr>
          <w:rFonts w:ascii="Verdana" w:hAnsi="Verdana" w:cs="Times New Roman"/>
          <w:i/>
          <w:iCs/>
          <w:sz w:val="19"/>
          <w:szCs w:val="19"/>
        </w:rPr>
        <w:br/>
        <w:t>marriage and civil partnership;</w:t>
      </w:r>
      <w:r w:rsidRPr="00C3044A">
        <w:rPr>
          <w:rFonts w:ascii="Verdana" w:hAnsi="Verdana" w:cs="Times New Roman"/>
          <w:i/>
          <w:iCs/>
          <w:sz w:val="19"/>
          <w:szCs w:val="19"/>
        </w:rPr>
        <w:br/>
        <w:t>race;</w:t>
      </w:r>
      <w:r w:rsidRPr="00C3044A">
        <w:rPr>
          <w:rFonts w:ascii="Verdana" w:hAnsi="Verdana" w:cs="Times New Roman"/>
          <w:i/>
          <w:iCs/>
          <w:sz w:val="19"/>
          <w:szCs w:val="19"/>
        </w:rPr>
        <w:br/>
        <w:t>religion or belief;</w:t>
      </w:r>
      <w:r w:rsidRPr="00C3044A">
        <w:rPr>
          <w:rFonts w:ascii="Verdana" w:hAnsi="Verdana" w:cs="Times New Roman"/>
          <w:i/>
          <w:iCs/>
          <w:sz w:val="19"/>
          <w:szCs w:val="19"/>
        </w:rPr>
        <w:br/>
        <w:t>sex;</w:t>
      </w:r>
      <w:r w:rsidRPr="00C3044A">
        <w:rPr>
          <w:rFonts w:ascii="Verdana" w:hAnsi="Verdana" w:cs="Times New Roman"/>
          <w:i/>
          <w:iCs/>
          <w:sz w:val="19"/>
          <w:szCs w:val="19"/>
        </w:rPr>
        <w:br/>
        <w:t>sexual orientation.</w:t>
      </w:r>
    </w:p>
    <w:p w:rsidR="005A707E" w:rsidRDefault="005A707E" w:rsidP="00664014">
      <w:pPr>
        <w:pStyle w:val="ListParagraph"/>
        <w:numPr>
          <w:ilvl w:val="0"/>
          <w:numId w:val="4"/>
        </w:numPr>
        <w:jc w:val="both"/>
      </w:pPr>
      <w:r>
        <w:t>Subsection 85 (2) of the 2010 Act states:</w:t>
      </w:r>
    </w:p>
    <w:p w:rsidR="005A707E" w:rsidRDefault="005A707E" w:rsidP="00664014">
      <w:pPr>
        <w:pStyle w:val="ListParagraph"/>
        <w:jc w:val="both"/>
      </w:pPr>
    </w:p>
    <w:p w:rsidR="005A707E" w:rsidRPr="00C3044A" w:rsidRDefault="005A707E" w:rsidP="00664014">
      <w:pPr>
        <w:spacing w:after="0" w:line="240" w:lineRule="auto"/>
        <w:ind w:left="1440"/>
        <w:jc w:val="both"/>
        <w:rPr>
          <w:rFonts w:ascii="Verdana" w:hAnsi="Verdana" w:cs="Times New Roman"/>
          <w:i/>
          <w:iCs/>
          <w:sz w:val="19"/>
          <w:szCs w:val="19"/>
        </w:rPr>
      </w:pPr>
      <w:r w:rsidRPr="00C3044A">
        <w:rPr>
          <w:rFonts w:ascii="Verdana" w:hAnsi="Verdana" w:cs="Times New Roman"/>
          <w:sz w:val="19"/>
          <w:szCs w:val="19"/>
        </w:rPr>
        <w:t>(</w:t>
      </w:r>
      <w:r w:rsidRPr="00C3044A">
        <w:rPr>
          <w:rFonts w:ascii="Verdana" w:hAnsi="Verdana" w:cs="Times New Roman"/>
          <w:i/>
          <w:iCs/>
          <w:sz w:val="19"/>
          <w:szCs w:val="19"/>
        </w:rPr>
        <w:t>2) The responsible body of such a school must not discriminate against a pupil—</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(a) </w:t>
      </w:r>
      <w:proofErr w:type="gramStart"/>
      <w:r w:rsidRPr="00C3044A">
        <w:rPr>
          <w:rFonts w:ascii="Verdana" w:hAnsi="Verdana" w:cs="Times New Roman"/>
          <w:i/>
          <w:iCs/>
          <w:sz w:val="19"/>
          <w:szCs w:val="19"/>
        </w:rPr>
        <w:t>in</w:t>
      </w:r>
      <w:proofErr w:type="gramEnd"/>
      <w:r w:rsidRPr="00C3044A">
        <w:rPr>
          <w:rFonts w:ascii="Verdana" w:hAnsi="Verdana" w:cs="Times New Roman"/>
          <w:i/>
          <w:iCs/>
          <w:sz w:val="19"/>
          <w:szCs w:val="19"/>
        </w:rPr>
        <w:t xml:space="preserve"> the way it provides education for the pupil;</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(b) </w:t>
      </w:r>
      <w:proofErr w:type="gramStart"/>
      <w:r w:rsidRPr="00C3044A">
        <w:rPr>
          <w:rFonts w:ascii="Verdana" w:hAnsi="Verdana" w:cs="Times New Roman"/>
          <w:i/>
          <w:iCs/>
          <w:sz w:val="19"/>
          <w:szCs w:val="19"/>
        </w:rPr>
        <w:t>in</w:t>
      </w:r>
      <w:proofErr w:type="gramEnd"/>
      <w:r w:rsidRPr="00C3044A">
        <w:rPr>
          <w:rFonts w:ascii="Verdana" w:hAnsi="Verdana" w:cs="Times New Roman"/>
          <w:i/>
          <w:iCs/>
          <w:sz w:val="19"/>
          <w:szCs w:val="19"/>
        </w:rPr>
        <w:t xml:space="preserve"> the way it affords the pupil access to a benefit, facility or service;</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(c) </w:t>
      </w:r>
      <w:proofErr w:type="gramStart"/>
      <w:r w:rsidRPr="00C3044A">
        <w:rPr>
          <w:rFonts w:ascii="Verdana" w:hAnsi="Verdana" w:cs="Times New Roman"/>
          <w:i/>
          <w:iCs/>
          <w:sz w:val="19"/>
          <w:szCs w:val="19"/>
        </w:rPr>
        <w:t>by</w:t>
      </w:r>
      <w:proofErr w:type="gramEnd"/>
      <w:r w:rsidRPr="00C3044A">
        <w:rPr>
          <w:rFonts w:ascii="Verdana" w:hAnsi="Verdana" w:cs="Times New Roman"/>
          <w:i/>
          <w:iCs/>
          <w:sz w:val="19"/>
          <w:szCs w:val="19"/>
        </w:rPr>
        <w:t xml:space="preserve"> not providing education for the pupil;</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(d) </w:t>
      </w:r>
      <w:proofErr w:type="gramStart"/>
      <w:r w:rsidRPr="00C3044A">
        <w:rPr>
          <w:rFonts w:ascii="Verdana" w:hAnsi="Verdana" w:cs="Times New Roman"/>
          <w:i/>
          <w:iCs/>
          <w:sz w:val="19"/>
          <w:szCs w:val="19"/>
        </w:rPr>
        <w:t>by</w:t>
      </w:r>
      <w:proofErr w:type="gramEnd"/>
      <w:r w:rsidRPr="00C3044A">
        <w:rPr>
          <w:rFonts w:ascii="Verdana" w:hAnsi="Verdana" w:cs="Times New Roman"/>
          <w:i/>
          <w:iCs/>
          <w:sz w:val="19"/>
          <w:szCs w:val="19"/>
        </w:rPr>
        <w:t xml:space="preserve"> not affording the pupil access to a benefit, facility or service;</w:t>
      </w:r>
    </w:p>
    <w:p w:rsidR="005A707E" w:rsidRPr="00C3044A" w:rsidRDefault="005A707E" w:rsidP="00664014">
      <w:pPr>
        <w:spacing w:after="0" w:line="240" w:lineRule="auto"/>
        <w:ind w:left="720" w:firstLine="720"/>
        <w:jc w:val="both"/>
        <w:rPr>
          <w:rFonts w:ascii="Verdana" w:hAnsi="Verdana" w:cs="Times New Roman"/>
          <w:i/>
          <w:iCs/>
          <w:sz w:val="19"/>
          <w:szCs w:val="19"/>
        </w:rPr>
      </w:pPr>
      <w:r w:rsidRPr="00C3044A">
        <w:rPr>
          <w:rFonts w:ascii="Verdana" w:hAnsi="Verdana" w:cs="Times New Roman"/>
          <w:i/>
          <w:iCs/>
          <w:sz w:val="19"/>
          <w:szCs w:val="19"/>
        </w:rPr>
        <w:t xml:space="preserve">(e) </w:t>
      </w:r>
      <w:proofErr w:type="gramStart"/>
      <w:r w:rsidRPr="00C3044A">
        <w:rPr>
          <w:rFonts w:ascii="Verdana" w:hAnsi="Verdana" w:cs="Times New Roman"/>
          <w:i/>
          <w:iCs/>
          <w:sz w:val="19"/>
          <w:szCs w:val="19"/>
        </w:rPr>
        <w:t>by</w:t>
      </w:r>
      <w:proofErr w:type="gramEnd"/>
      <w:r w:rsidRPr="00C3044A">
        <w:rPr>
          <w:rFonts w:ascii="Verdana" w:hAnsi="Verdana" w:cs="Times New Roman"/>
          <w:i/>
          <w:iCs/>
          <w:sz w:val="19"/>
          <w:szCs w:val="19"/>
        </w:rPr>
        <w:t xml:space="preserve"> excluding the pupil from the school;</w:t>
      </w:r>
    </w:p>
    <w:p w:rsidR="005A707E" w:rsidRDefault="005A707E" w:rsidP="00664014">
      <w:pPr>
        <w:spacing w:after="75" w:line="240" w:lineRule="auto"/>
        <w:ind w:left="720" w:firstLine="720"/>
        <w:jc w:val="both"/>
        <w:rPr>
          <w:rFonts w:ascii="Verdana" w:hAnsi="Verdana" w:cs="Times New Roman"/>
          <w:sz w:val="19"/>
          <w:szCs w:val="19"/>
        </w:rPr>
      </w:pPr>
      <w:r w:rsidRPr="00C3044A">
        <w:rPr>
          <w:rFonts w:ascii="Verdana" w:hAnsi="Verdana" w:cs="Times New Roman"/>
          <w:i/>
          <w:iCs/>
          <w:sz w:val="19"/>
          <w:szCs w:val="19"/>
        </w:rPr>
        <w:t xml:space="preserve">(f) </w:t>
      </w:r>
      <w:proofErr w:type="gramStart"/>
      <w:r w:rsidRPr="00C3044A">
        <w:rPr>
          <w:rFonts w:ascii="Verdana" w:hAnsi="Verdana" w:cs="Times New Roman"/>
          <w:i/>
          <w:iCs/>
          <w:sz w:val="19"/>
          <w:szCs w:val="19"/>
        </w:rPr>
        <w:t>by</w:t>
      </w:r>
      <w:proofErr w:type="gramEnd"/>
      <w:r w:rsidRPr="00C3044A">
        <w:rPr>
          <w:rFonts w:ascii="Verdana" w:hAnsi="Verdana" w:cs="Times New Roman"/>
          <w:i/>
          <w:iCs/>
          <w:sz w:val="19"/>
          <w:szCs w:val="19"/>
        </w:rPr>
        <w:t xml:space="preserve"> subjecting the pupil to any other detriment</w:t>
      </w:r>
      <w:r w:rsidRPr="00C3044A">
        <w:rPr>
          <w:rFonts w:ascii="Verdana" w:hAnsi="Verdana" w:cs="Times New Roman"/>
          <w:sz w:val="19"/>
          <w:szCs w:val="19"/>
        </w:rPr>
        <w:t>.</w:t>
      </w:r>
    </w:p>
    <w:p w:rsidR="005A707E" w:rsidRDefault="005A707E" w:rsidP="00664014">
      <w:pPr>
        <w:spacing w:after="75" w:line="240" w:lineRule="auto"/>
        <w:jc w:val="both"/>
        <w:rPr>
          <w:rFonts w:ascii="Verdana" w:hAnsi="Verdana" w:cs="Times New Roman"/>
          <w:i/>
          <w:iCs/>
          <w:sz w:val="19"/>
          <w:szCs w:val="19"/>
        </w:rPr>
      </w:pPr>
    </w:p>
    <w:p w:rsidR="005A707E" w:rsidRPr="000608B5" w:rsidRDefault="005A707E" w:rsidP="00664014">
      <w:pPr>
        <w:pStyle w:val="ListParagraph"/>
        <w:numPr>
          <w:ilvl w:val="0"/>
          <w:numId w:val="4"/>
        </w:numPr>
        <w:spacing w:after="75" w:line="240" w:lineRule="auto"/>
        <w:jc w:val="both"/>
        <w:rPr>
          <w:rFonts w:ascii="Cambria" w:hAnsi="Cambria" w:cs="Times New Roman"/>
        </w:rPr>
      </w:pPr>
      <w:r w:rsidRPr="000608B5">
        <w:rPr>
          <w:rFonts w:ascii="Cambria" w:hAnsi="Cambria" w:cs="Times New Roman"/>
        </w:rPr>
        <w:t xml:space="preserve">The parties agreed </w:t>
      </w:r>
      <w:proofErr w:type="gramStart"/>
      <w:r w:rsidR="006C67C2">
        <w:rPr>
          <w:rFonts w:ascii="Cambria" w:hAnsi="Cambria" w:cs="Times New Roman"/>
        </w:rPr>
        <w:t>The</w:t>
      </w:r>
      <w:proofErr w:type="gramEnd"/>
      <w:r w:rsidR="006C67C2">
        <w:rPr>
          <w:rFonts w:ascii="Cambria" w:hAnsi="Cambria" w:cs="Times New Roman"/>
        </w:rPr>
        <w:t xml:space="preserve"> child</w:t>
      </w:r>
      <w:r w:rsidRPr="000608B5">
        <w:rPr>
          <w:rFonts w:ascii="Cambria" w:hAnsi="Cambria" w:cs="Times New Roman"/>
        </w:rPr>
        <w:t xml:space="preserve"> is disabled for the purposes of s. 6 of the 2010 Act. The Tribunal agrees. </w:t>
      </w:r>
    </w:p>
    <w:p w:rsidR="005A707E" w:rsidRPr="000608B5" w:rsidRDefault="005A707E" w:rsidP="00664014">
      <w:pPr>
        <w:pStyle w:val="ListParagraph"/>
        <w:numPr>
          <w:ilvl w:val="0"/>
          <w:numId w:val="4"/>
        </w:numPr>
        <w:spacing w:after="75" w:line="240" w:lineRule="auto"/>
        <w:jc w:val="both"/>
        <w:rPr>
          <w:rFonts w:ascii="Cambria" w:hAnsi="Cambria" w:cs="Times New Roman"/>
        </w:rPr>
      </w:pPr>
      <w:r w:rsidRPr="000608B5">
        <w:rPr>
          <w:rFonts w:ascii="Cambria" w:hAnsi="Cambria" w:cs="Times New Roman"/>
        </w:rPr>
        <w:t>In paragraph 7 of the Responsible Body’s Reply it set out:</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 xml:space="preserve">the teacher in charge of the </w:t>
      </w:r>
      <w:smartTag w:uri="urn:schemas-microsoft-com:office:smarttags" w:element="place">
        <w:smartTag w:uri="urn:schemas-microsoft-com:office:smarttags" w:element="City">
          <w:r w:rsidRPr="000608B5">
            <w:rPr>
              <w:rFonts w:ascii="Cambria" w:hAnsi="Cambria" w:cs="Times New Roman"/>
            </w:rPr>
            <w:t>Paris</w:t>
          </w:r>
        </w:smartTag>
      </w:smartTag>
      <w:r w:rsidRPr="000608B5">
        <w:rPr>
          <w:rFonts w:ascii="Cambria" w:hAnsi="Cambria" w:cs="Times New Roman"/>
        </w:rPr>
        <w:t xml:space="preserve"> trip announced spare places to pupils by way of a </w:t>
      </w:r>
      <w:proofErr w:type="spellStart"/>
      <w:r w:rsidRPr="000608B5">
        <w:rPr>
          <w:rFonts w:ascii="Cambria" w:hAnsi="Cambria" w:cs="Times New Roman"/>
        </w:rPr>
        <w:t>tannoy</w:t>
      </w:r>
      <w:proofErr w:type="spellEnd"/>
      <w:r w:rsidRPr="000608B5">
        <w:rPr>
          <w:rFonts w:ascii="Cambria" w:hAnsi="Cambria" w:cs="Times New Roman"/>
        </w:rPr>
        <w:t>;</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w:t>
      </w:r>
      <w:proofErr w:type="gramStart"/>
      <w:r w:rsidRPr="000608B5">
        <w:rPr>
          <w:rFonts w:ascii="Cambria" w:hAnsi="Cambria" w:cs="Times New Roman"/>
        </w:rPr>
        <w:t>this</w:t>
      </w:r>
      <w:proofErr w:type="gramEnd"/>
      <w:r w:rsidRPr="000608B5">
        <w:rPr>
          <w:rFonts w:ascii="Cambria" w:hAnsi="Cambria" w:cs="Times New Roman"/>
        </w:rPr>
        <w:t xml:space="preserve"> is not the method of communication that ought to be used”.</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a number of distinct groups of pupils were placed at a disadvantage and they were prevented from putting themselves forward for the spare places;</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 xml:space="preserve">the class teacher, when she used the </w:t>
      </w:r>
      <w:proofErr w:type="spellStart"/>
      <w:r w:rsidRPr="000608B5">
        <w:rPr>
          <w:rFonts w:ascii="Cambria" w:hAnsi="Cambria" w:cs="Times New Roman"/>
        </w:rPr>
        <w:t>tannoy</w:t>
      </w:r>
      <w:proofErr w:type="spellEnd"/>
      <w:r w:rsidRPr="000608B5">
        <w:rPr>
          <w:rFonts w:ascii="Cambria" w:hAnsi="Cambria" w:cs="Times New Roman"/>
        </w:rPr>
        <w:t xml:space="preserve"> announcement forgot about the correct procedure which would have involved advising staff, </w:t>
      </w:r>
      <w:r w:rsidRPr="000608B5">
        <w:rPr>
          <w:rFonts w:ascii="Cambria" w:hAnsi="Cambria" w:cs="Times New Roman"/>
          <w:i/>
          <w:iCs/>
        </w:rPr>
        <w:t xml:space="preserve">especially </w:t>
      </w:r>
      <w:r w:rsidRPr="000608B5">
        <w:rPr>
          <w:rFonts w:ascii="Cambria" w:hAnsi="Cambria" w:cs="Times New Roman"/>
        </w:rPr>
        <w:t xml:space="preserve">in ‘Pupil Support’ and asking them –“as is the norm” whether there were any pupils in the Learning Centre “such as </w:t>
      </w:r>
      <w:r w:rsidR="006C67C2">
        <w:rPr>
          <w:rFonts w:ascii="Cambria" w:hAnsi="Cambria" w:cs="Times New Roman"/>
        </w:rPr>
        <w:t>The child</w:t>
      </w:r>
      <w:r w:rsidRPr="000608B5">
        <w:rPr>
          <w:rFonts w:ascii="Cambria" w:hAnsi="Cambria" w:cs="Times New Roman"/>
        </w:rPr>
        <w:t xml:space="preserve">” who would benefit from such a trip. </w:t>
      </w:r>
    </w:p>
    <w:p w:rsidR="005A707E" w:rsidRPr="000608B5" w:rsidRDefault="005A707E" w:rsidP="00664014">
      <w:pPr>
        <w:pStyle w:val="ListParagraph"/>
        <w:numPr>
          <w:ilvl w:val="0"/>
          <w:numId w:val="4"/>
        </w:numPr>
        <w:spacing w:after="75" w:line="240" w:lineRule="auto"/>
        <w:jc w:val="both"/>
        <w:rPr>
          <w:rFonts w:ascii="Cambria" w:hAnsi="Cambria" w:cs="Times New Roman"/>
        </w:rPr>
      </w:pPr>
      <w:r w:rsidRPr="000608B5">
        <w:rPr>
          <w:rFonts w:ascii="Cambria" w:hAnsi="Cambria" w:cs="Times New Roman"/>
        </w:rPr>
        <w:lastRenderedPageBreak/>
        <w:t>The Tribunal agrees with the parties that:</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 xml:space="preserve">the Responsible Body applied a practice to </w:t>
      </w:r>
      <w:proofErr w:type="spellStart"/>
      <w:r w:rsidRPr="000608B5">
        <w:rPr>
          <w:rFonts w:ascii="Cambria" w:hAnsi="Cambria" w:cs="Times New Roman"/>
        </w:rPr>
        <w:t>non disabled</w:t>
      </w:r>
      <w:proofErr w:type="spellEnd"/>
      <w:r w:rsidRPr="000608B5">
        <w:rPr>
          <w:rFonts w:ascii="Cambria" w:hAnsi="Cambria" w:cs="Times New Roman"/>
        </w:rPr>
        <w:t xml:space="preserve"> persons (the use of the </w:t>
      </w:r>
      <w:proofErr w:type="spellStart"/>
      <w:r w:rsidRPr="000608B5">
        <w:rPr>
          <w:rFonts w:ascii="Cambria" w:hAnsi="Cambria" w:cs="Times New Roman"/>
        </w:rPr>
        <w:t>tannoy</w:t>
      </w:r>
      <w:proofErr w:type="spellEnd"/>
      <w:r w:rsidRPr="000608B5">
        <w:rPr>
          <w:rFonts w:ascii="Cambria" w:hAnsi="Cambria" w:cs="Times New Roman"/>
        </w:rPr>
        <w:t>);</w:t>
      </w:r>
    </w:p>
    <w:p w:rsidR="005A707E" w:rsidRPr="000608B5" w:rsidRDefault="005A707E" w:rsidP="00664014">
      <w:pPr>
        <w:pStyle w:val="ListParagraph"/>
        <w:numPr>
          <w:ilvl w:val="1"/>
          <w:numId w:val="4"/>
        </w:numPr>
        <w:spacing w:after="75" w:line="240" w:lineRule="auto"/>
        <w:jc w:val="both"/>
        <w:rPr>
          <w:rFonts w:ascii="Cambria" w:hAnsi="Cambria" w:cs="Times New Roman"/>
        </w:rPr>
      </w:pPr>
      <w:r w:rsidRPr="000608B5">
        <w:rPr>
          <w:rFonts w:ascii="Cambria" w:hAnsi="Cambria" w:cs="Times New Roman"/>
        </w:rPr>
        <w:t xml:space="preserve">the use of the </w:t>
      </w:r>
      <w:proofErr w:type="spellStart"/>
      <w:r w:rsidRPr="000608B5">
        <w:rPr>
          <w:rFonts w:ascii="Cambria" w:hAnsi="Cambria" w:cs="Times New Roman"/>
        </w:rPr>
        <w:t>tannoy</w:t>
      </w:r>
      <w:proofErr w:type="spellEnd"/>
      <w:r w:rsidRPr="000608B5">
        <w:rPr>
          <w:rFonts w:ascii="Cambria" w:hAnsi="Cambria" w:cs="Times New Roman"/>
        </w:rPr>
        <w:t xml:space="preserve"> put disabled pupils at a particular disadvantage when compared with </w:t>
      </w:r>
      <w:proofErr w:type="spellStart"/>
      <w:r w:rsidRPr="000608B5">
        <w:rPr>
          <w:rFonts w:ascii="Cambria" w:hAnsi="Cambria" w:cs="Times New Roman"/>
        </w:rPr>
        <w:t>non disabled</w:t>
      </w:r>
      <w:proofErr w:type="spellEnd"/>
      <w:r w:rsidRPr="000608B5">
        <w:rPr>
          <w:rFonts w:ascii="Cambria" w:hAnsi="Cambria" w:cs="Times New Roman"/>
        </w:rPr>
        <w:t xml:space="preserve"> pupils (hence the Responsible Body’s position that it would be the norm to ask staff to ascertain if the pupils in the learning Centre would benefit from  the trip, and this did not happen);</w:t>
      </w:r>
    </w:p>
    <w:p w:rsidR="005A707E" w:rsidRPr="000608B5" w:rsidRDefault="006C67C2" w:rsidP="00664014">
      <w:pPr>
        <w:pStyle w:val="ListParagraph"/>
        <w:numPr>
          <w:ilvl w:val="1"/>
          <w:numId w:val="4"/>
        </w:numPr>
        <w:spacing w:after="75" w:line="240" w:lineRule="auto"/>
        <w:jc w:val="both"/>
        <w:rPr>
          <w:rFonts w:ascii="Cambria" w:hAnsi="Cambria" w:cs="Times New Roman"/>
        </w:rPr>
      </w:pPr>
      <w:r>
        <w:rPr>
          <w:rFonts w:ascii="Cambria" w:hAnsi="Cambria" w:cs="Times New Roman"/>
        </w:rPr>
        <w:t>The child</w:t>
      </w:r>
      <w:r w:rsidR="005A707E" w:rsidRPr="000608B5">
        <w:rPr>
          <w:rFonts w:ascii="Cambria" w:hAnsi="Cambria" w:cs="Times New Roman"/>
        </w:rPr>
        <w:t xml:space="preserve"> was disadvantaged by the use of the </w:t>
      </w:r>
      <w:proofErr w:type="spellStart"/>
      <w:r w:rsidR="005A707E" w:rsidRPr="000608B5">
        <w:rPr>
          <w:rFonts w:ascii="Cambria" w:hAnsi="Cambria" w:cs="Times New Roman"/>
        </w:rPr>
        <w:t>tannoy</w:t>
      </w:r>
      <w:proofErr w:type="spellEnd"/>
      <w:r w:rsidR="005A707E" w:rsidRPr="000608B5">
        <w:rPr>
          <w:rFonts w:ascii="Cambria" w:hAnsi="Cambria" w:cs="Times New Roman"/>
        </w:rPr>
        <w:t xml:space="preserve"> (she and her parents did not know about the offer of places until much later when the trip was full);</w:t>
      </w:r>
    </w:p>
    <w:p w:rsidR="005A707E" w:rsidRPr="000608B5" w:rsidRDefault="005A707E" w:rsidP="00664014">
      <w:pPr>
        <w:pStyle w:val="ListParagraph"/>
        <w:numPr>
          <w:ilvl w:val="1"/>
          <w:numId w:val="4"/>
        </w:numPr>
        <w:spacing w:after="75" w:line="240" w:lineRule="auto"/>
        <w:jc w:val="both"/>
        <w:rPr>
          <w:rFonts w:ascii="Cambria" w:hAnsi="Cambria" w:cs="Times New Roman"/>
        </w:rPr>
      </w:pPr>
      <w:proofErr w:type="gramStart"/>
      <w:r w:rsidRPr="000608B5">
        <w:rPr>
          <w:rFonts w:ascii="Cambria" w:hAnsi="Cambria" w:cs="Times New Roman"/>
        </w:rPr>
        <w:t>the</w:t>
      </w:r>
      <w:proofErr w:type="gramEnd"/>
      <w:r w:rsidRPr="000608B5">
        <w:rPr>
          <w:rFonts w:ascii="Cambria" w:hAnsi="Cambria" w:cs="Times New Roman"/>
        </w:rPr>
        <w:t xml:space="preserve"> Responsible Body cannot show using the </w:t>
      </w:r>
      <w:proofErr w:type="spellStart"/>
      <w:r w:rsidRPr="000608B5">
        <w:rPr>
          <w:rFonts w:ascii="Cambria" w:hAnsi="Cambria" w:cs="Times New Roman"/>
        </w:rPr>
        <w:t>tannoy</w:t>
      </w:r>
      <w:proofErr w:type="spellEnd"/>
      <w:r w:rsidRPr="000608B5">
        <w:rPr>
          <w:rFonts w:ascii="Cambria" w:hAnsi="Cambria" w:cs="Times New Roman"/>
        </w:rPr>
        <w:t xml:space="preserve"> was a proportionate means of achieving a legitimate aim (it accepts the usual practice was departed from and the teacher organising the trip forgot the proper procedure).</w:t>
      </w:r>
    </w:p>
    <w:p w:rsidR="005A707E" w:rsidRPr="000608B5" w:rsidRDefault="005A707E" w:rsidP="00664014">
      <w:pPr>
        <w:pStyle w:val="ListParagraph"/>
        <w:numPr>
          <w:ilvl w:val="0"/>
          <w:numId w:val="4"/>
        </w:numPr>
        <w:spacing w:after="75" w:line="240" w:lineRule="auto"/>
        <w:jc w:val="both"/>
        <w:rPr>
          <w:rFonts w:ascii="Cambria" w:hAnsi="Cambria" w:cs="Times New Roman"/>
        </w:rPr>
      </w:pPr>
      <w:r w:rsidRPr="000608B5">
        <w:rPr>
          <w:rFonts w:ascii="Cambria" w:hAnsi="Cambria" w:cs="Times New Roman"/>
        </w:rPr>
        <w:t xml:space="preserve">In the circumstances, the Responsible Body has indirectly discriminated against </w:t>
      </w:r>
      <w:r w:rsidR="006C67C2">
        <w:rPr>
          <w:rFonts w:ascii="Cambria" w:hAnsi="Cambria" w:cs="Times New Roman"/>
        </w:rPr>
        <w:t>The child</w:t>
      </w:r>
      <w:r w:rsidRPr="000608B5">
        <w:rPr>
          <w:rFonts w:ascii="Cambria" w:hAnsi="Cambria" w:cs="Times New Roman"/>
        </w:rPr>
        <w:t xml:space="preserve"> in the manner in which it advertised for spare places for the Paris trip which took place in June 2011 and such discrimination contravenes the Responsible Body’s statutory obligations imposed by subsection 85 (2).</w:t>
      </w:r>
    </w:p>
    <w:p w:rsidR="005A707E" w:rsidRPr="000608B5" w:rsidRDefault="005A707E" w:rsidP="00664014">
      <w:pPr>
        <w:pStyle w:val="ListParagraph"/>
        <w:numPr>
          <w:ilvl w:val="0"/>
          <w:numId w:val="4"/>
        </w:numPr>
        <w:spacing w:after="75" w:line="240" w:lineRule="auto"/>
        <w:jc w:val="both"/>
        <w:rPr>
          <w:rFonts w:ascii="Cambria" w:hAnsi="Cambria"/>
        </w:rPr>
      </w:pPr>
      <w:r w:rsidRPr="000608B5">
        <w:rPr>
          <w:rFonts w:ascii="Cambria" w:hAnsi="Cambria" w:cs="Times New Roman"/>
        </w:rPr>
        <w:t xml:space="preserve">The Tribunal only considered the omission in relation to indirect discrimination. This decision is limited to that and the Claimants did not seek any findings or relief in relation to direct discrimination, that is to say there is no suggestion the Responsible Body’s staff discriminated against </w:t>
      </w:r>
      <w:r w:rsidR="006C67C2">
        <w:rPr>
          <w:rFonts w:ascii="Cambria" w:hAnsi="Cambria" w:cs="Times New Roman"/>
        </w:rPr>
        <w:t>The child</w:t>
      </w:r>
      <w:r w:rsidRPr="000608B5">
        <w:rPr>
          <w:rFonts w:ascii="Cambria" w:hAnsi="Cambria" w:cs="Times New Roman"/>
        </w:rPr>
        <w:t xml:space="preserve"> because of, or for a reasons related to, her disability. </w:t>
      </w:r>
    </w:p>
    <w:p w:rsidR="005A707E" w:rsidRPr="000608B5" w:rsidRDefault="005A707E" w:rsidP="00664014">
      <w:pPr>
        <w:pStyle w:val="ListParagraph"/>
        <w:numPr>
          <w:ilvl w:val="0"/>
          <w:numId w:val="4"/>
        </w:numPr>
        <w:spacing w:after="75" w:line="240" w:lineRule="auto"/>
        <w:jc w:val="both"/>
        <w:rPr>
          <w:rFonts w:ascii="Cambria" w:hAnsi="Cambria"/>
        </w:rPr>
      </w:pPr>
      <w:r w:rsidRPr="000608B5">
        <w:rPr>
          <w:rFonts w:ascii="Cambria" w:hAnsi="Cambria" w:cs="Times New Roman"/>
        </w:rPr>
        <w:t xml:space="preserve">The Tribunal, pursuant to Schedule 17, Part 3, paragraph 9 (2) may make any such order as it thinks fit, subject to finding the contravention has occurred (which we have) and subject to paragraph 9 (3). In all the circumstances of this case and paying particular regard to the agreement of the parties, it is appropriate that the Tribunal makes an order for </w:t>
      </w:r>
      <w:proofErr w:type="spellStart"/>
      <w:r w:rsidRPr="000608B5">
        <w:rPr>
          <w:rFonts w:ascii="Cambria" w:hAnsi="Cambria" w:cs="Times New Roman"/>
        </w:rPr>
        <w:t>declarator</w:t>
      </w:r>
      <w:proofErr w:type="spellEnd"/>
      <w:r w:rsidRPr="000608B5">
        <w:rPr>
          <w:rFonts w:ascii="Cambria" w:hAnsi="Cambria" w:cs="Times New Roman"/>
        </w:rPr>
        <w:t xml:space="preserve"> in the following terms, and that is the order of this Tribunal:</w:t>
      </w:r>
    </w:p>
    <w:p w:rsidR="005A707E" w:rsidRPr="000608B5" w:rsidRDefault="005A707E" w:rsidP="00664014">
      <w:pPr>
        <w:spacing w:after="75" w:line="240" w:lineRule="auto"/>
        <w:jc w:val="both"/>
        <w:rPr>
          <w:rFonts w:ascii="Cambria" w:hAnsi="Cambria"/>
        </w:rPr>
      </w:pPr>
    </w:p>
    <w:p w:rsidR="005A707E" w:rsidRPr="000608B5" w:rsidRDefault="005A707E" w:rsidP="00664014">
      <w:pPr>
        <w:spacing w:after="75" w:line="240" w:lineRule="auto"/>
        <w:ind w:left="1440"/>
        <w:jc w:val="both"/>
        <w:rPr>
          <w:rFonts w:ascii="Cambria" w:hAnsi="Cambria"/>
        </w:rPr>
      </w:pPr>
      <w:r w:rsidRPr="000608B5">
        <w:rPr>
          <w:rFonts w:ascii="Cambria" w:hAnsi="Cambria"/>
          <w:i/>
          <w:iCs/>
        </w:rPr>
        <w:t xml:space="preserve">The Responsible Body indirectly discriminated against </w:t>
      </w:r>
      <w:proofErr w:type="gramStart"/>
      <w:r w:rsidR="006C67C2">
        <w:rPr>
          <w:rFonts w:ascii="Cambria" w:hAnsi="Cambria"/>
          <w:i/>
          <w:iCs/>
        </w:rPr>
        <w:t>The</w:t>
      </w:r>
      <w:proofErr w:type="gramEnd"/>
      <w:r w:rsidR="006C67C2">
        <w:rPr>
          <w:rFonts w:ascii="Cambria" w:hAnsi="Cambria"/>
          <w:i/>
          <w:iCs/>
        </w:rPr>
        <w:t xml:space="preserve"> child</w:t>
      </w:r>
      <w:r w:rsidRPr="000608B5">
        <w:rPr>
          <w:rFonts w:ascii="Cambria" w:hAnsi="Cambria"/>
          <w:i/>
          <w:iCs/>
        </w:rPr>
        <w:t xml:space="preserve"> in the manner by</w:t>
      </w:r>
      <w:r>
        <w:rPr>
          <w:rFonts w:ascii="Cambria" w:hAnsi="Cambria"/>
          <w:i/>
          <w:iCs/>
        </w:rPr>
        <w:t xml:space="preserve"> which it allocated spare places</w:t>
      </w:r>
      <w:r w:rsidRPr="000608B5">
        <w:rPr>
          <w:rFonts w:ascii="Cambria" w:hAnsi="Cambria"/>
          <w:i/>
          <w:iCs/>
        </w:rPr>
        <w:t xml:space="preserve"> for the June 2011 school trip to Paris. </w:t>
      </w:r>
    </w:p>
    <w:p w:rsidR="005A707E" w:rsidRPr="000608B5" w:rsidRDefault="005A707E" w:rsidP="00664014">
      <w:pPr>
        <w:pStyle w:val="ListParagraph"/>
        <w:spacing w:after="75" w:line="240" w:lineRule="auto"/>
        <w:jc w:val="both"/>
        <w:rPr>
          <w:rFonts w:ascii="Cambria" w:hAnsi="Cambria"/>
        </w:rPr>
      </w:pPr>
    </w:p>
    <w:p w:rsidR="005A707E" w:rsidRPr="000608B5" w:rsidRDefault="005A707E" w:rsidP="00664014">
      <w:pPr>
        <w:pStyle w:val="ListParagraph"/>
        <w:numPr>
          <w:ilvl w:val="0"/>
          <w:numId w:val="4"/>
        </w:numPr>
        <w:spacing w:after="75" w:line="240" w:lineRule="auto"/>
        <w:jc w:val="both"/>
        <w:rPr>
          <w:rFonts w:ascii="Cambria" w:hAnsi="Cambria"/>
        </w:rPr>
      </w:pPr>
      <w:r w:rsidRPr="000608B5">
        <w:rPr>
          <w:rFonts w:ascii="Cambria" w:hAnsi="Cambria"/>
        </w:rPr>
        <w:t xml:space="preserve">The Tribunal records </w:t>
      </w:r>
      <w:proofErr w:type="gramStart"/>
      <w:r w:rsidRPr="000608B5">
        <w:rPr>
          <w:rFonts w:ascii="Cambria" w:hAnsi="Cambria"/>
        </w:rPr>
        <w:t>its</w:t>
      </w:r>
      <w:proofErr w:type="gramEnd"/>
      <w:r w:rsidRPr="000608B5">
        <w:rPr>
          <w:rFonts w:ascii="Cambria" w:hAnsi="Cambria"/>
        </w:rPr>
        <w:t xml:space="preserve"> thanks to the representatives for the helpful manner in which they represented t</w:t>
      </w:r>
      <w:r>
        <w:rPr>
          <w:rFonts w:ascii="Cambria" w:hAnsi="Cambria"/>
        </w:rPr>
        <w:t>heir respective clients</w:t>
      </w:r>
      <w:r w:rsidRPr="000608B5">
        <w:rPr>
          <w:rFonts w:ascii="Cambria" w:hAnsi="Cambria"/>
        </w:rPr>
        <w:t xml:space="preserve">.  The concessions made by </w:t>
      </w:r>
      <w:r w:rsidR="006C67C2">
        <w:rPr>
          <w:rFonts w:ascii="Cambria" w:hAnsi="Cambria"/>
        </w:rPr>
        <w:t>Solicitor for Responsible Body</w:t>
      </w:r>
      <w:r w:rsidRPr="000608B5">
        <w:rPr>
          <w:rFonts w:ascii="Cambria" w:hAnsi="Cambria"/>
        </w:rPr>
        <w:t xml:space="preserve"> in particular, were, in the view of the Tribunal correctly made and very properly permitted the resolution of these proceedings in a proportionate and effective manner. </w:t>
      </w:r>
    </w:p>
    <w:p w:rsidR="005A707E" w:rsidRDefault="005A707E" w:rsidP="00664014">
      <w:pPr>
        <w:spacing w:after="75" w:line="240" w:lineRule="auto"/>
        <w:ind w:left="1080"/>
        <w:jc w:val="both"/>
      </w:pPr>
    </w:p>
    <w:p w:rsidR="005A707E" w:rsidRDefault="005A707E" w:rsidP="00664014">
      <w:pPr>
        <w:pStyle w:val="ListParagraph"/>
        <w:jc w:val="both"/>
      </w:pPr>
    </w:p>
    <w:p w:rsidR="005A707E" w:rsidRPr="00805B4D" w:rsidRDefault="005A707E" w:rsidP="00664014">
      <w:pPr>
        <w:pStyle w:val="ListParagraph"/>
        <w:ind w:left="1440"/>
        <w:jc w:val="both"/>
      </w:pPr>
    </w:p>
    <w:p w:rsidR="005A707E" w:rsidRDefault="005A707E" w:rsidP="00664014">
      <w:pPr>
        <w:jc w:val="both"/>
      </w:pPr>
    </w:p>
    <w:p w:rsidR="005A707E" w:rsidRDefault="005A707E" w:rsidP="00746DB1"/>
    <w:p w:rsidR="005A707E" w:rsidRPr="00746DB1" w:rsidRDefault="005A707E" w:rsidP="00746DB1"/>
    <w:sectPr w:rsidR="005A707E" w:rsidRPr="00746DB1" w:rsidSect="00CE38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7E" w:rsidRDefault="005A707E" w:rsidP="006A78DB">
      <w:pPr>
        <w:spacing w:after="0" w:line="240" w:lineRule="auto"/>
      </w:pPr>
      <w:r>
        <w:separator/>
      </w:r>
    </w:p>
  </w:endnote>
  <w:endnote w:type="continuationSeparator" w:id="0">
    <w:p w:rsidR="005A707E" w:rsidRDefault="005A707E" w:rsidP="006A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F7" w:rsidRDefault="00831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7E" w:rsidRPr="008319F7" w:rsidRDefault="005A707E" w:rsidP="008319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F7" w:rsidRDefault="00831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7E" w:rsidRDefault="005A707E" w:rsidP="006A78DB">
      <w:pPr>
        <w:spacing w:after="0" w:line="240" w:lineRule="auto"/>
      </w:pPr>
      <w:r>
        <w:separator/>
      </w:r>
    </w:p>
  </w:footnote>
  <w:footnote w:type="continuationSeparator" w:id="0">
    <w:p w:rsidR="005A707E" w:rsidRDefault="005A707E" w:rsidP="006A7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F7" w:rsidRDefault="00831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F7" w:rsidRDefault="00831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F7" w:rsidRDefault="00831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528"/>
    <w:multiLevelType w:val="hybridMultilevel"/>
    <w:tmpl w:val="362A37C2"/>
    <w:lvl w:ilvl="0" w:tplc="AFACF6F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F448EB"/>
    <w:multiLevelType w:val="hybridMultilevel"/>
    <w:tmpl w:val="EC844A00"/>
    <w:lvl w:ilvl="0" w:tplc="D7C08F0A">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FE14E9F"/>
    <w:multiLevelType w:val="hybridMultilevel"/>
    <w:tmpl w:val="1B283A5A"/>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BD90C84"/>
    <w:multiLevelType w:val="hybridMultilevel"/>
    <w:tmpl w:val="A83456D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B726A67"/>
    <w:multiLevelType w:val="hybridMultilevel"/>
    <w:tmpl w:val="54E41A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DF"/>
    <w:rsid w:val="000608B5"/>
    <w:rsid w:val="000F42C9"/>
    <w:rsid w:val="00127945"/>
    <w:rsid w:val="00425852"/>
    <w:rsid w:val="005A707E"/>
    <w:rsid w:val="005F46CA"/>
    <w:rsid w:val="0065115A"/>
    <w:rsid w:val="006526AC"/>
    <w:rsid w:val="00664014"/>
    <w:rsid w:val="006A78DB"/>
    <w:rsid w:val="006C29D0"/>
    <w:rsid w:val="006C67C2"/>
    <w:rsid w:val="006C7CDF"/>
    <w:rsid w:val="00734EEA"/>
    <w:rsid w:val="00746DB1"/>
    <w:rsid w:val="00805B4D"/>
    <w:rsid w:val="008319F7"/>
    <w:rsid w:val="00861154"/>
    <w:rsid w:val="009A4A35"/>
    <w:rsid w:val="00B343F5"/>
    <w:rsid w:val="00BC1F08"/>
    <w:rsid w:val="00C3044A"/>
    <w:rsid w:val="00C420F4"/>
    <w:rsid w:val="00CE38A0"/>
    <w:rsid w:val="00D4025B"/>
    <w:rsid w:val="00E578AA"/>
    <w:rsid w:val="00E75E67"/>
    <w:rsid w:val="00F0748B"/>
    <w:rsid w:val="00FA3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A0"/>
    <w:pPr>
      <w:spacing w:after="200" w:line="27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CDF"/>
    <w:pPr>
      <w:ind w:left="720"/>
      <w:contextualSpacing/>
    </w:pPr>
  </w:style>
  <w:style w:type="paragraph" w:styleId="Header">
    <w:name w:val="header"/>
    <w:basedOn w:val="Normal"/>
    <w:link w:val="HeaderChar"/>
    <w:uiPriority w:val="99"/>
    <w:rsid w:val="006A78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A78DB"/>
    <w:rPr>
      <w:rFonts w:cs="Times New Roman"/>
    </w:rPr>
  </w:style>
  <w:style w:type="paragraph" w:styleId="Footer">
    <w:name w:val="footer"/>
    <w:basedOn w:val="Normal"/>
    <w:link w:val="FooterChar"/>
    <w:uiPriority w:val="99"/>
    <w:rsid w:val="006A78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A78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A0"/>
    <w:pPr>
      <w:spacing w:after="200" w:line="27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CDF"/>
    <w:pPr>
      <w:ind w:left="720"/>
      <w:contextualSpacing/>
    </w:pPr>
  </w:style>
  <w:style w:type="paragraph" w:styleId="Header">
    <w:name w:val="header"/>
    <w:basedOn w:val="Normal"/>
    <w:link w:val="HeaderChar"/>
    <w:uiPriority w:val="99"/>
    <w:rsid w:val="006A78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A78DB"/>
    <w:rPr>
      <w:rFonts w:cs="Times New Roman"/>
    </w:rPr>
  </w:style>
  <w:style w:type="paragraph" w:styleId="Footer">
    <w:name w:val="footer"/>
    <w:basedOn w:val="Normal"/>
    <w:link w:val="FooterChar"/>
    <w:uiPriority w:val="99"/>
    <w:rsid w:val="006A78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A78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54019">
      <w:marLeft w:val="375"/>
      <w:marRight w:val="375"/>
      <w:marTop w:val="75"/>
      <w:marBottom w:val="75"/>
      <w:divBdr>
        <w:top w:val="none" w:sz="0" w:space="0" w:color="auto"/>
        <w:left w:val="none" w:sz="0" w:space="0" w:color="auto"/>
        <w:bottom w:val="none" w:sz="0" w:space="0" w:color="auto"/>
        <w:right w:val="none" w:sz="0" w:space="0" w:color="auto"/>
      </w:divBdr>
      <w:divsChild>
        <w:div w:id="199754020">
          <w:marLeft w:val="0"/>
          <w:marRight w:val="0"/>
          <w:marTop w:val="0"/>
          <w:marBottom w:val="0"/>
          <w:divBdr>
            <w:top w:val="none" w:sz="0" w:space="0" w:color="auto"/>
            <w:left w:val="none" w:sz="0" w:space="0" w:color="auto"/>
            <w:bottom w:val="none" w:sz="0" w:space="0" w:color="auto"/>
            <w:right w:val="none" w:sz="0" w:space="0" w:color="auto"/>
          </w:divBdr>
          <w:divsChild>
            <w:div w:id="199754012">
              <w:marLeft w:val="0"/>
              <w:marRight w:val="0"/>
              <w:marTop w:val="0"/>
              <w:marBottom w:val="0"/>
              <w:divBdr>
                <w:top w:val="none" w:sz="0" w:space="0" w:color="auto"/>
                <w:left w:val="none" w:sz="0" w:space="0" w:color="auto"/>
                <w:bottom w:val="none" w:sz="0" w:space="0" w:color="auto"/>
                <w:right w:val="none" w:sz="0" w:space="0" w:color="auto"/>
              </w:divBdr>
              <w:divsChild>
                <w:div w:id="199754032">
                  <w:marLeft w:val="0"/>
                  <w:marRight w:val="0"/>
                  <w:marTop w:val="0"/>
                  <w:marBottom w:val="0"/>
                  <w:divBdr>
                    <w:top w:val="none" w:sz="0" w:space="0" w:color="auto"/>
                    <w:left w:val="none" w:sz="0" w:space="0" w:color="auto"/>
                    <w:bottom w:val="none" w:sz="0" w:space="0" w:color="auto"/>
                    <w:right w:val="none" w:sz="0" w:space="0" w:color="auto"/>
                  </w:divBdr>
                  <w:divsChild>
                    <w:div w:id="199754014">
                      <w:marLeft w:val="0"/>
                      <w:marRight w:val="0"/>
                      <w:marTop w:val="0"/>
                      <w:marBottom w:val="0"/>
                      <w:divBdr>
                        <w:top w:val="none" w:sz="0" w:space="0" w:color="auto"/>
                        <w:left w:val="none" w:sz="0" w:space="0" w:color="auto"/>
                        <w:bottom w:val="none" w:sz="0" w:space="0" w:color="auto"/>
                        <w:right w:val="none" w:sz="0" w:space="0" w:color="auto"/>
                      </w:divBdr>
                      <w:divsChild>
                        <w:div w:id="199754016">
                          <w:marLeft w:val="0"/>
                          <w:marRight w:val="0"/>
                          <w:marTop w:val="0"/>
                          <w:marBottom w:val="0"/>
                          <w:divBdr>
                            <w:top w:val="none" w:sz="0" w:space="0" w:color="auto"/>
                            <w:left w:val="none" w:sz="0" w:space="0" w:color="auto"/>
                            <w:bottom w:val="none" w:sz="0" w:space="0" w:color="auto"/>
                            <w:right w:val="none" w:sz="0" w:space="0" w:color="auto"/>
                          </w:divBdr>
                        </w:div>
                      </w:divsChild>
                    </w:div>
                    <w:div w:id="199754022">
                      <w:marLeft w:val="0"/>
                      <w:marRight w:val="0"/>
                      <w:marTop w:val="0"/>
                      <w:marBottom w:val="0"/>
                      <w:divBdr>
                        <w:top w:val="none" w:sz="0" w:space="0" w:color="auto"/>
                        <w:left w:val="none" w:sz="0" w:space="0" w:color="auto"/>
                        <w:bottom w:val="none" w:sz="0" w:space="0" w:color="auto"/>
                        <w:right w:val="none" w:sz="0" w:space="0" w:color="auto"/>
                      </w:divBdr>
                    </w:div>
                    <w:div w:id="199754023">
                      <w:marLeft w:val="0"/>
                      <w:marRight w:val="0"/>
                      <w:marTop w:val="0"/>
                      <w:marBottom w:val="0"/>
                      <w:divBdr>
                        <w:top w:val="none" w:sz="0" w:space="0" w:color="auto"/>
                        <w:left w:val="none" w:sz="0" w:space="0" w:color="auto"/>
                        <w:bottom w:val="none" w:sz="0" w:space="0" w:color="auto"/>
                        <w:right w:val="none" w:sz="0" w:space="0" w:color="auto"/>
                      </w:divBdr>
                      <w:divsChild>
                        <w:div w:id="199754013">
                          <w:marLeft w:val="0"/>
                          <w:marRight w:val="0"/>
                          <w:marTop w:val="0"/>
                          <w:marBottom w:val="0"/>
                          <w:divBdr>
                            <w:top w:val="none" w:sz="0" w:space="0" w:color="auto"/>
                            <w:left w:val="none" w:sz="0" w:space="0" w:color="auto"/>
                            <w:bottom w:val="none" w:sz="0" w:space="0" w:color="auto"/>
                            <w:right w:val="none" w:sz="0" w:space="0" w:color="auto"/>
                          </w:divBdr>
                        </w:div>
                        <w:div w:id="199754015">
                          <w:marLeft w:val="0"/>
                          <w:marRight w:val="0"/>
                          <w:marTop w:val="0"/>
                          <w:marBottom w:val="0"/>
                          <w:divBdr>
                            <w:top w:val="none" w:sz="0" w:space="0" w:color="auto"/>
                            <w:left w:val="none" w:sz="0" w:space="0" w:color="auto"/>
                            <w:bottom w:val="none" w:sz="0" w:space="0" w:color="auto"/>
                            <w:right w:val="none" w:sz="0" w:space="0" w:color="auto"/>
                          </w:divBdr>
                        </w:div>
                        <w:div w:id="199754025">
                          <w:marLeft w:val="0"/>
                          <w:marRight w:val="0"/>
                          <w:marTop w:val="0"/>
                          <w:marBottom w:val="0"/>
                          <w:divBdr>
                            <w:top w:val="none" w:sz="0" w:space="0" w:color="auto"/>
                            <w:left w:val="none" w:sz="0" w:space="0" w:color="auto"/>
                            <w:bottom w:val="none" w:sz="0" w:space="0" w:color="auto"/>
                            <w:right w:val="none" w:sz="0" w:space="0" w:color="auto"/>
                          </w:divBdr>
                        </w:div>
                        <w:div w:id="1997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4030">
      <w:marLeft w:val="375"/>
      <w:marRight w:val="375"/>
      <w:marTop w:val="75"/>
      <w:marBottom w:val="75"/>
      <w:divBdr>
        <w:top w:val="none" w:sz="0" w:space="0" w:color="auto"/>
        <w:left w:val="none" w:sz="0" w:space="0" w:color="auto"/>
        <w:bottom w:val="none" w:sz="0" w:space="0" w:color="auto"/>
        <w:right w:val="none" w:sz="0" w:space="0" w:color="auto"/>
      </w:divBdr>
      <w:divsChild>
        <w:div w:id="199754034">
          <w:marLeft w:val="0"/>
          <w:marRight w:val="0"/>
          <w:marTop w:val="0"/>
          <w:marBottom w:val="0"/>
          <w:divBdr>
            <w:top w:val="none" w:sz="0" w:space="0" w:color="auto"/>
            <w:left w:val="none" w:sz="0" w:space="0" w:color="auto"/>
            <w:bottom w:val="none" w:sz="0" w:space="0" w:color="auto"/>
            <w:right w:val="none" w:sz="0" w:space="0" w:color="auto"/>
          </w:divBdr>
          <w:divsChild>
            <w:div w:id="199754031">
              <w:marLeft w:val="0"/>
              <w:marRight w:val="0"/>
              <w:marTop w:val="0"/>
              <w:marBottom w:val="0"/>
              <w:divBdr>
                <w:top w:val="none" w:sz="0" w:space="0" w:color="auto"/>
                <w:left w:val="none" w:sz="0" w:space="0" w:color="auto"/>
                <w:bottom w:val="none" w:sz="0" w:space="0" w:color="auto"/>
                <w:right w:val="none" w:sz="0" w:space="0" w:color="auto"/>
              </w:divBdr>
              <w:divsChild>
                <w:div w:id="199754018">
                  <w:marLeft w:val="0"/>
                  <w:marRight w:val="0"/>
                  <w:marTop w:val="0"/>
                  <w:marBottom w:val="0"/>
                  <w:divBdr>
                    <w:top w:val="none" w:sz="0" w:space="0" w:color="auto"/>
                    <w:left w:val="none" w:sz="0" w:space="0" w:color="auto"/>
                    <w:bottom w:val="none" w:sz="0" w:space="0" w:color="auto"/>
                    <w:right w:val="none" w:sz="0" w:space="0" w:color="auto"/>
                  </w:divBdr>
                  <w:divsChild>
                    <w:div w:id="199754033">
                      <w:marLeft w:val="0"/>
                      <w:marRight w:val="0"/>
                      <w:marTop w:val="0"/>
                      <w:marBottom w:val="0"/>
                      <w:divBdr>
                        <w:top w:val="none" w:sz="0" w:space="0" w:color="auto"/>
                        <w:left w:val="none" w:sz="0" w:space="0" w:color="auto"/>
                        <w:bottom w:val="none" w:sz="0" w:space="0" w:color="auto"/>
                        <w:right w:val="none" w:sz="0" w:space="0" w:color="auto"/>
                      </w:divBdr>
                      <w:divsChild>
                        <w:div w:id="199754017">
                          <w:marLeft w:val="0"/>
                          <w:marRight w:val="0"/>
                          <w:marTop w:val="0"/>
                          <w:marBottom w:val="0"/>
                          <w:divBdr>
                            <w:top w:val="none" w:sz="0" w:space="0" w:color="auto"/>
                            <w:left w:val="none" w:sz="0" w:space="0" w:color="auto"/>
                            <w:bottom w:val="none" w:sz="0" w:space="0" w:color="auto"/>
                            <w:right w:val="none" w:sz="0" w:space="0" w:color="auto"/>
                          </w:divBdr>
                        </w:div>
                        <w:div w:id="199754021">
                          <w:marLeft w:val="0"/>
                          <w:marRight w:val="0"/>
                          <w:marTop w:val="0"/>
                          <w:marBottom w:val="0"/>
                          <w:divBdr>
                            <w:top w:val="none" w:sz="0" w:space="0" w:color="auto"/>
                            <w:left w:val="none" w:sz="0" w:space="0" w:color="auto"/>
                            <w:bottom w:val="none" w:sz="0" w:space="0" w:color="auto"/>
                            <w:right w:val="none" w:sz="0" w:space="0" w:color="auto"/>
                          </w:divBdr>
                        </w:div>
                        <w:div w:id="199754024">
                          <w:marLeft w:val="0"/>
                          <w:marRight w:val="0"/>
                          <w:marTop w:val="0"/>
                          <w:marBottom w:val="0"/>
                          <w:divBdr>
                            <w:top w:val="none" w:sz="0" w:space="0" w:color="auto"/>
                            <w:left w:val="none" w:sz="0" w:space="0" w:color="auto"/>
                            <w:bottom w:val="none" w:sz="0" w:space="0" w:color="auto"/>
                            <w:right w:val="none" w:sz="0" w:space="0" w:color="auto"/>
                          </w:divBdr>
                        </w:div>
                        <w:div w:id="199754026">
                          <w:marLeft w:val="0"/>
                          <w:marRight w:val="0"/>
                          <w:marTop w:val="0"/>
                          <w:marBottom w:val="0"/>
                          <w:divBdr>
                            <w:top w:val="none" w:sz="0" w:space="0" w:color="auto"/>
                            <w:left w:val="none" w:sz="0" w:space="0" w:color="auto"/>
                            <w:bottom w:val="none" w:sz="0" w:space="0" w:color="auto"/>
                            <w:right w:val="none" w:sz="0" w:space="0" w:color="auto"/>
                          </w:divBdr>
                        </w:div>
                        <w:div w:id="199754027">
                          <w:marLeft w:val="0"/>
                          <w:marRight w:val="0"/>
                          <w:marTop w:val="0"/>
                          <w:marBottom w:val="0"/>
                          <w:divBdr>
                            <w:top w:val="none" w:sz="0" w:space="0" w:color="auto"/>
                            <w:left w:val="none" w:sz="0" w:space="0" w:color="auto"/>
                            <w:bottom w:val="none" w:sz="0" w:space="0" w:color="auto"/>
                            <w:right w:val="none" w:sz="0" w:space="0" w:color="auto"/>
                          </w:divBdr>
                        </w:div>
                        <w:div w:id="1997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McKendrick</dc:creator>
  <cp:lastModifiedBy>hdelaney</cp:lastModifiedBy>
  <cp:revision>2</cp:revision>
  <dcterms:created xsi:type="dcterms:W3CDTF">2016-04-20T09:30:00Z</dcterms:created>
  <dcterms:modified xsi:type="dcterms:W3CDTF">2016-04-20T09:30:00Z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A3360562</vt:lpwstr>
  </property>
  <property fmtid="{D5CDD505-2E9C-101B-9397-08002B2CF9AE}" pid="4" name="Objective-Title">
    <vt:lpwstr>ASNTSLawFinalDecision</vt:lpwstr>
  </property>
  <property fmtid="{D5CDD505-2E9C-101B-9397-08002B2CF9AE}" pid="5" name="Objective-Comment">
    <vt:lpwstr>
    </vt:lpwstr>
  </property>
  <property fmtid="{D5CDD505-2E9C-101B-9397-08002B2CF9AE}" pid="6" name="Objective-CreationStamp">
    <vt:filetime>2012-06-22T12:06:14Z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2012-06-22T12:06:14Z</vt:filetime>
  </property>
  <property fmtid="{D5CDD505-2E9C-101B-9397-08002B2CF9AE}" pid="10" name="Objective-ModificationStamp">
    <vt:filetime>2012-06-22T12:06:15Z</vt:filetime>
  </property>
  <property fmtid="{D5CDD505-2E9C-101B-9397-08002B2CF9AE}" pid="11" name="Objective-Owner">
    <vt:lpwstr>Delaney, Hugh H (U204925)</vt:lpwstr>
  </property>
  <property fmtid="{D5CDD505-2E9C-101B-9397-08002B2CF9AE}" pid="12" name="Objective-Path">
    <vt:lpwstr>Objective Global Folder:SG File Plan:Education, careers and employment:Education and skills:Special educational needs and additional support:Casework: Special educational needs and additional support:DDC 001: 2012:</vt:lpwstr>
  </property>
  <property fmtid="{D5CDD505-2E9C-101B-9397-08002B2CF9AE}" pid="13" name="Objective-Parent">
    <vt:lpwstr>DDC 001: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CORR/5231</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