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D83FB" w14:textId="77777777" w:rsidR="00B478CB" w:rsidRDefault="00B478CB">
      <w:pPr>
        <w:pStyle w:val="BodyText"/>
        <w:spacing w:before="3"/>
        <w:rPr>
          <w:rFonts w:ascii="Times New Roman"/>
          <w:sz w:val="12"/>
        </w:rPr>
      </w:pPr>
    </w:p>
    <w:p w14:paraId="5B7CFD3D" w14:textId="77777777" w:rsidR="00B478CB" w:rsidRDefault="00B37320">
      <w:pPr>
        <w:pStyle w:val="Title"/>
      </w:pPr>
      <w:r>
        <w:t>DECISION</w:t>
      </w:r>
      <w:r>
        <w:rPr>
          <w:spacing w:val="-5"/>
        </w:rPr>
        <w:t xml:space="preserve"> </w:t>
      </w:r>
      <w:r>
        <w:t>OF</w:t>
      </w:r>
      <w:r>
        <w:rPr>
          <w:spacing w:val="-4"/>
        </w:rPr>
        <w:t xml:space="preserve"> </w:t>
      </w:r>
      <w:r>
        <w:t>THE</w:t>
      </w:r>
      <w:r>
        <w:rPr>
          <w:spacing w:val="-3"/>
        </w:rPr>
        <w:t xml:space="preserve"> </w:t>
      </w:r>
      <w:r>
        <w:rPr>
          <w:spacing w:val="-2"/>
        </w:rPr>
        <w:t>TRIBUNAL</w:t>
      </w:r>
      <w:r w:rsidR="00097354">
        <w:rPr>
          <w:spacing w:val="-2"/>
        </w:rPr>
        <w:t xml:space="preserve"> ON PRELIMINARY MATTER</w:t>
      </w:r>
    </w:p>
    <w:p w14:paraId="650BEAD2" w14:textId="77777777" w:rsidR="00B478CB" w:rsidRDefault="00B37320" w:rsidP="007027FA">
      <w:pPr>
        <w:pStyle w:val="BodyText"/>
      </w:pPr>
      <w:r>
        <w:rPr>
          <w:noProof/>
          <w:lang w:val="en-GB" w:eastAsia="en-GB"/>
        </w:rPr>
        <mc:AlternateContent>
          <mc:Choice Requires="wps">
            <w:drawing>
              <wp:anchor distT="0" distB="0" distL="0" distR="0" simplePos="0" relativeHeight="487587840" behindDoc="1" locked="0" layoutInCell="1" allowOverlap="1" wp14:anchorId="01CBB72F" wp14:editId="7F3F2D8F">
                <wp:simplePos x="0" y="0"/>
                <wp:positionH relativeFrom="page">
                  <wp:posOffset>1124585</wp:posOffset>
                </wp:positionH>
                <wp:positionV relativeFrom="paragraph">
                  <wp:posOffset>132080</wp:posOffset>
                </wp:positionV>
                <wp:extent cx="5311140" cy="18415"/>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7D4E7" id="docshape5" o:spid="_x0000_s1026" style="position:absolute;margin-left:88.55pt;margin-top:10.4pt;width:418.2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" fillcolor="black" stroked="f">
                <w10:wrap type="topAndBottom" anchorx="page"/>
              </v:rect>
            </w:pict>
          </mc:Fallback>
        </mc:AlternateContent>
      </w:r>
    </w:p>
    <w:p w14:paraId="46BF044C" w14:textId="5E185FCC" w:rsidR="00B478CB" w:rsidRDefault="008149E1">
      <w:pPr>
        <w:pStyle w:val="BodyText"/>
        <w:spacing w:before="8"/>
      </w:pPr>
      <w:r>
        <w:t>ASNTS_R_16_</w:t>
      </w:r>
      <w:proofErr w:type="gramStart"/>
      <w:r>
        <w:t>0015  -</w:t>
      </w:r>
      <w:proofErr w:type="gramEnd"/>
      <w:r>
        <w:t xml:space="preserve"> PRELIMINARY</w:t>
      </w:r>
    </w:p>
    <w:p w14:paraId="6820055A" w14:textId="77777777" w:rsidR="008149E1" w:rsidRDefault="008149E1">
      <w:pPr>
        <w:pStyle w:val="BodyText"/>
        <w:spacing w:before="8"/>
        <w:rPr>
          <w:sz w:val="23"/>
        </w:rPr>
      </w:pPr>
      <w:bookmarkStart w:id="0" w:name="_GoBack"/>
      <w:bookmarkEnd w:id="0"/>
    </w:p>
    <w:p w14:paraId="2914B8F1" w14:textId="77777777" w:rsidR="00B478CB" w:rsidRDefault="00B37320">
      <w:pPr>
        <w:pStyle w:val="Heading1"/>
        <w:rPr>
          <w:u w:val="none"/>
        </w:rPr>
      </w:pPr>
      <w:r>
        <w:t>Decision</w:t>
      </w:r>
      <w:r>
        <w:rPr>
          <w:spacing w:val="-3"/>
        </w:rPr>
        <w:t xml:space="preserve"> </w:t>
      </w:r>
      <w:r>
        <w:t>of</w:t>
      </w:r>
      <w:r>
        <w:rPr>
          <w:spacing w:val="-4"/>
        </w:rPr>
        <w:t xml:space="preserve"> </w:t>
      </w:r>
      <w:r>
        <w:t>the</w:t>
      </w:r>
      <w:r>
        <w:rPr>
          <w:spacing w:val="-2"/>
        </w:rPr>
        <w:t xml:space="preserve"> Tribunal</w:t>
      </w:r>
    </w:p>
    <w:p w14:paraId="1B07CD85" w14:textId="77777777" w:rsidR="00B478CB" w:rsidRDefault="00B478CB">
      <w:pPr>
        <w:pStyle w:val="BodyText"/>
        <w:spacing w:before="1"/>
        <w:rPr>
          <w:b/>
          <w:sz w:val="14"/>
        </w:rPr>
      </w:pPr>
    </w:p>
    <w:p w14:paraId="1564243C" w14:textId="77777777" w:rsidR="00B478CB" w:rsidRDefault="001C659A">
      <w:pPr>
        <w:pStyle w:val="BodyText"/>
        <w:spacing w:before="94"/>
        <w:ind w:left="139" w:right="137"/>
        <w:jc w:val="both"/>
      </w:pPr>
      <w:r>
        <w:t>This r</w:t>
      </w:r>
      <w:r w:rsidR="00B37320">
        <w:t>eference</w:t>
      </w:r>
      <w:r w:rsidR="00B37320">
        <w:rPr>
          <w:spacing w:val="-1"/>
        </w:rPr>
        <w:t xml:space="preserve"> </w:t>
      </w:r>
      <w:r w:rsidR="00B37320">
        <w:t>is not within</w:t>
      </w:r>
      <w:r w:rsidR="00B37320">
        <w:rPr>
          <w:spacing w:val="-1"/>
        </w:rPr>
        <w:t xml:space="preserve"> </w:t>
      </w:r>
      <w:r w:rsidR="00B37320">
        <w:t>the</w:t>
      </w:r>
      <w:r w:rsidR="00B37320">
        <w:rPr>
          <w:spacing w:val="-1"/>
        </w:rPr>
        <w:t xml:space="preserve"> </w:t>
      </w:r>
      <w:r w:rsidR="00B37320">
        <w:t>jurisdiction</w:t>
      </w:r>
      <w:r w:rsidR="00B37320">
        <w:rPr>
          <w:spacing w:val="-1"/>
        </w:rPr>
        <w:t xml:space="preserve"> </w:t>
      </w:r>
      <w:r w:rsidR="00B37320">
        <w:t>of this</w:t>
      </w:r>
      <w:r w:rsidR="00B37320">
        <w:rPr>
          <w:spacing w:val="-3"/>
        </w:rPr>
        <w:t xml:space="preserve"> </w:t>
      </w:r>
      <w:r w:rsidR="00B37320">
        <w:t>Tribunal</w:t>
      </w:r>
      <w:r w:rsidR="00B37320">
        <w:rPr>
          <w:spacing w:val="-1"/>
        </w:rPr>
        <w:t xml:space="preserve"> </w:t>
      </w:r>
      <w:r w:rsidR="00B37320">
        <w:t>and</w:t>
      </w:r>
      <w:r w:rsidR="00B37320">
        <w:rPr>
          <w:spacing w:val="-1"/>
        </w:rPr>
        <w:t xml:space="preserve"> </w:t>
      </w:r>
      <w:r w:rsidR="00B37320">
        <w:t>so</w:t>
      </w:r>
      <w:r w:rsidR="00B37320">
        <w:rPr>
          <w:spacing w:val="-1"/>
        </w:rPr>
        <w:t xml:space="preserve"> </w:t>
      </w:r>
      <w:r w:rsidR="00B37320">
        <w:t>is dismissed</w:t>
      </w:r>
      <w:r w:rsidR="00B37320">
        <w:rPr>
          <w:spacing w:val="-1"/>
        </w:rPr>
        <w:t xml:space="preserve"> </w:t>
      </w:r>
      <w:r w:rsidR="00B37320">
        <w:t>under rule 18(2</w:t>
      </w:r>
      <w:proofErr w:type="gramStart"/>
      <w:r w:rsidR="00B37320">
        <w:t>)(</w:t>
      </w:r>
      <w:proofErr w:type="gramEnd"/>
      <w:r w:rsidR="00B37320">
        <w:t>b) of the Education (Additional Support for Learning) (Scotland) Act (‘the 2004 Act’).</w:t>
      </w:r>
    </w:p>
    <w:p w14:paraId="3DCEDF20" w14:textId="77777777" w:rsidR="00B478CB" w:rsidRDefault="00B478CB">
      <w:pPr>
        <w:pStyle w:val="BodyText"/>
        <w:spacing w:before="7"/>
        <w:rPr>
          <w:sz w:val="21"/>
        </w:rPr>
      </w:pPr>
    </w:p>
    <w:p w14:paraId="4452937C" w14:textId="77777777" w:rsidR="00B478CB" w:rsidRDefault="00B37320">
      <w:pPr>
        <w:pStyle w:val="Heading1"/>
        <w:spacing w:before="1"/>
        <w:rPr>
          <w:u w:val="none"/>
        </w:rPr>
      </w:pPr>
      <w:r>
        <w:rPr>
          <w:spacing w:val="-2"/>
        </w:rPr>
        <w:t>Reasons</w:t>
      </w:r>
    </w:p>
    <w:p w14:paraId="2EF0D31D" w14:textId="77777777" w:rsidR="00B478CB" w:rsidRDefault="00B478CB">
      <w:pPr>
        <w:pStyle w:val="BodyText"/>
        <w:spacing w:before="1"/>
        <w:rPr>
          <w:b/>
          <w:sz w:val="14"/>
        </w:rPr>
      </w:pPr>
    </w:p>
    <w:p w14:paraId="67DFDBEB" w14:textId="6B68904A" w:rsidR="00B478CB" w:rsidRDefault="00B37320">
      <w:pPr>
        <w:pStyle w:val="ListParagraph"/>
        <w:numPr>
          <w:ilvl w:val="0"/>
          <w:numId w:val="1"/>
        </w:numPr>
        <w:tabs>
          <w:tab w:val="left" w:pos="405"/>
        </w:tabs>
        <w:spacing w:before="93"/>
        <w:ind w:firstLine="0"/>
        <w:jc w:val="both"/>
      </w:pPr>
      <w:r>
        <w:t xml:space="preserve">Since the parties are in agreement that the Tribunal does not have </w:t>
      </w:r>
      <w:r w:rsidR="00097354">
        <w:t>jurisdiction to entertain this r</w:t>
      </w:r>
      <w:r>
        <w:t xml:space="preserve">eference, I can state my reasons relatively briefly. The parties produced written submissions at my request. </w:t>
      </w:r>
    </w:p>
    <w:p w14:paraId="1204C527" w14:textId="77777777" w:rsidR="00B478CB" w:rsidRDefault="00B478CB">
      <w:pPr>
        <w:pStyle w:val="BodyText"/>
      </w:pPr>
    </w:p>
    <w:p w14:paraId="5C0C2988" w14:textId="77777777" w:rsidR="00B478CB" w:rsidRDefault="00097354">
      <w:pPr>
        <w:pStyle w:val="ListParagraph"/>
        <w:numPr>
          <w:ilvl w:val="0"/>
          <w:numId w:val="1"/>
        </w:numPr>
        <w:tabs>
          <w:tab w:val="left" w:pos="387"/>
        </w:tabs>
        <w:ind w:right="135" w:firstLine="0"/>
        <w:jc w:val="both"/>
      </w:pPr>
      <w:r>
        <w:t>The child</w:t>
      </w:r>
      <w:r w:rsidR="00B37320">
        <w:t xml:space="preserve"> has attended </w:t>
      </w:r>
      <w:r>
        <w:t>s</w:t>
      </w:r>
      <w:r w:rsidR="007027FA">
        <w:t>chool A</w:t>
      </w:r>
      <w:r w:rsidR="00B37320">
        <w:t>, an independent school, since</w:t>
      </w:r>
      <w:r w:rsidR="00B37320">
        <w:rPr>
          <w:spacing w:val="-2"/>
        </w:rPr>
        <w:t xml:space="preserve"> </w:t>
      </w:r>
      <w:r w:rsidR="00B37320">
        <w:t>October 2015.</w:t>
      </w:r>
      <w:r w:rsidR="00B37320">
        <w:rPr>
          <w:spacing w:val="-3"/>
        </w:rPr>
        <w:t xml:space="preserve"> </w:t>
      </w:r>
      <w:r w:rsidR="00B37320">
        <w:t>The</w:t>
      </w:r>
      <w:r w:rsidR="00B37320">
        <w:rPr>
          <w:spacing w:val="-4"/>
        </w:rPr>
        <w:t xml:space="preserve"> </w:t>
      </w:r>
      <w:r>
        <w:t>a</w:t>
      </w:r>
      <w:r w:rsidR="00B37320">
        <w:t>ppellant’s</w:t>
      </w:r>
      <w:r w:rsidR="00B37320">
        <w:rPr>
          <w:spacing w:val="-1"/>
        </w:rPr>
        <w:t xml:space="preserve"> </w:t>
      </w:r>
      <w:r w:rsidR="00B37320">
        <w:t>placing request was</w:t>
      </w:r>
      <w:r w:rsidR="00B37320">
        <w:rPr>
          <w:spacing w:val="-1"/>
        </w:rPr>
        <w:t xml:space="preserve"> </w:t>
      </w:r>
      <w:r w:rsidR="00B37320">
        <w:t>made</w:t>
      </w:r>
      <w:r w:rsidR="00B37320">
        <w:rPr>
          <w:spacing w:val="-2"/>
        </w:rPr>
        <w:t xml:space="preserve"> </w:t>
      </w:r>
      <w:r w:rsidR="007027FA">
        <w:t xml:space="preserve">in </w:t>
      </w:r>
      <w:r w:rsidR="00B37320">
        <w:t xml:space="preserve">October 2015 (A1-3), shortly following </w:t>
      </w:r>
      <w:r w:rsidR="007027FA">
        <w:t>the child</w:t>
      </w:r>
      <w:r w:rsidR="00B37320">
        <w:t xml:space="preserve"> starting to attend</w:t>
      </w:r>
      <w:r>
        <w:t xml:space="preserve"> school A</w:t>
      </w:r>
      <w:r w:rsidR="00B37320">
        <w:t>. That request was refused</w:t>
      </w:r>
      <w:r w:rsidR="00B37320">
        <w:rPr>
          <w:spacing w:val="-1"/>
        </w:rPr>
        <w:t xml:space="preserve"> </w:t>
      </w:r>
      <w:r w:rsidR="00B37320">
        <w:t>by</w:t>
      </w:r>
      <w:r w:rsidR="00B37320">
        <w:rPr>
          <w:spacing w:val="-4"/>
        </w:rPr>
        <w:t xml:space="preserve"> </w:t>
      </w:r>
      <w:r w:rsidR="00B37320">
        <w:t>the</w:t>
      </w:r>
      <w:r w:rsidR="00B37320">
        <w:rPr>
          <w:spacing w:val="-2"/>
        </w:rPr>
        <w:t xml:space="preserve"> </w:t>
      </w:r>
      <w:r>
        <w:t>r</w:t>
      </w:r>
      <w:r w:rsidR="00B37320">
        <w:t>espondent in</w:t>
      </w:r>
      <w:r w:rsidR="00B37320">
        <w:rPr>
          <w:spacing w:val="-2"/>
        </w:rPr>
        <w:t xml:space="preserve"> </w:t>
      </w:r>
      <w:r w:rsidR="00B37320">
        <w:t xml:space="preserve">their letter </w:t>
      </w:r>
      <w:r w:rsidR="007027FA">
        <w:t>in</w:t>
      </w:r>
      <w:r w:rsidR="00B37320">
        <w:t xml:space="preserve"> March</w:t>
      </w:r>
      <w:r w:rsidR="00B37320">
        <w:rPr>
          <w:spacing w:val="-2"/>
        </w:rPr>
        <w:t xml:space="preserve"> </w:t>
      </w:r>
      <w:r w:rsidR="00B37320">
        <w:t>2016 (T13-15).</w:t>
      </w:r>
      <w:r w:rsidR="00B37320">
        <w:rPr>
          <w:spacing w:val="-3"/>
        </w:rPr>
        <w:t xml:space="preserve"> </w:t>
      </w:r>
      <w:r w:rsidR="00B37320">
        <w:t>This</w:t>
      </w:r>
      <w:r w:rsidR="00B37320">
        <w:rPr>
          <w:spacing w:val="-1"/>
        </w:rPr>
        <w:t xml:space="preserve"> </w:t>
      </w:r>
      <w:r w:rsidR="00B37320">
        <w:t xml:space="preserve">reference was lodged </w:t>
      </w:r>
      <w:r w:rsidR="007027FA">
        <w:t>in</w:t>
      </w:r>
      <w:r w:rsidR="00B37320">
        <w:t xml:space="preserve"> May 2016, and the case s</w:t>
      </w:r>
      <w:r>
        <w:t>tatement process followed. The r</w:t>
      </w:r>
      <w:r w:rsidR="00B37320">
        <w:t xml:space="preserve">espondent did not challenge the Tribunal’s </w:t>
      </w:r>
      <w:proofErr w:type="gramStart"/>
      <w:r w:rsidR="00B37320">
        <w:t>jurisdic</w:t>
      </w:r>
      <w:r>
        <w:t>tion</w:t>
      </w:r>
      <w:proofErr w:type="gramEnd"/>
      <w:r>
        <w:t xml:space="preserve"> in its case statement (R3-</w:t>
      </w:r>
      <w:r w:rsidR="00B37320">
        <w:t>11). Fol</w:t>
      </w:r>
      <w:r>
        <w:t>lowing my allocation as Convener</w:t>
      </w:r>
      <w:r w:rsidR="00B37320">
        <w:t xml:space="preserve"> to this reference, I raised the jurisdiction point with the parties. This led to further submissions on this point. In the meantime,</w:t>
      </w:r>
      <w:r w:rsidR="003C5BFE">
        <w:rPr>
          <w:spacing w:val="80"/>
        </w:rPr>
        <w:t xml:space="preserve"> </w:t>
      </w:r>
      <w:r w:rsidR="00B37320">
        <w:t>a reference was made to the Educatio</w:t>
      </w:r>
      <w:r w:rsidR="00FF0534">
        <w:t>n Appeal Committee (EAC) under s</w:t>
      </w:r>
      <w:r w:rsidR="00B37320">
        <w:t>chedule 2 para 5(1) of the 2004 Act. That reference is on hold pending this decision.</w:t>
      </w:r>
    </w:p>
    <w:p w14:paraId="59A2215E" w14:textId="77777777" w:rsidR="00B478CB" w:rsidRDefault="00B478CB">
      <w:pPr>
        <w:pStyle w:val="BodyText"/>
        <w:spacing w:before="1"/>
      </w:pPr>
    </w:p>
    <w:p w14:paraId="3BE7009F" w14:textId="77777777" w:rsidR="00B478CB" w:rsidRDefault="00097354" w:rsidP="0027564D">
      <w:pPr>
        <w:pStyle w:val="ListParagraph"/>
        <w:numPr>
          <w:ilvl w:val="0"/>
          <w:numId w:val="1"/>
        </w:numPr>
        <w:tabs>
          <w:tab w:val="left" w:pos="445"/>
        </w:tabs>
        <w:spacing w:before="79"/>
        <w:ind w:right="134" w:firstLine="0"/>
        <w:jc w:val="both"/>
      </w:pPr>
      <w:r>
        <w:lastRenderedPageBreak/>
        <w:t>Both parties argue that this r</w:t>
      </w:r>
      <w:r w:rsidR="00B37320">
        <w:t xml:space="preserve">eference is not competent, as it is </w:t>
      </w:r>
      <w:proofErr w:type="spellStart"/>
      <w:r w:rsidR="00B37320">
        <w:t>outwith</w:t>
      </w:r>
      <w:proofErr w:type="spellEnd"/>
      <w:r w:rsidR="00B37320">
        <w:t xml:space="preserve"> the jurisdiction of</w:t>
      </w:r>
      <w:r w:rsidR="00B37320" w:rsidRPr="003C5BFE">
        <w:rPr>
          <w:spacing w:val="17"/>
        </w:rPr>
        <w:t xml:space="preserve"> </w:t>
      </w:r>
      <w:r w:rsidR="00B37320">
        <w:t>this Tribunal and ought to be dismissed. The basis of</w:t>
      </w:r>
      <w:r w:rsidR="00B37320" w:rsidRPr="003C5BFE">
        <w:rPr>
          <w:spacing w:val="17"/>
        </w:rPr>
        <w:t xml:space="preserve"> </w:t>
      </w:r>
      <w:r>
        <w:t>the argume</w:t>
      </w:r>
      <w:r w:rsidR="003C5BFE">
        <w:t xml:space="preserve">nt is </w:t>
      </w:r>
      <w:r w:rsidR="00B37320">
        <w:t xml:space="preserve">(in essence) that the jurisdiction of this Tribunal flows from </w:t>
      </w:r>
      <w:proofErr w:type="gramStart"/>
      <w:r w:rsidR="00B37320">
        <w:t>s.18(</w:t>
      </w:r>
      <w:proofErr w:type="gramEnd"/>
      <w:r w:rsidR="00B37320">
        <w:t>1) of the 2004 Act. That provision requires that the challenge in the reference can only be made where the child or young person in question is one for whose school education ‘an</w:t>
      </w:r>
      <w:r w:rsidR="00B37320" w:rsidRPr="003C5BFE">
        <w:rPr>
          <w:spacing w:val="40"/>
        </w:rPr>
        <w:t xml:space="preserve"> </w:t>
      </w:r>
      <w:r w:rsidR="00B37320">
        <w:t>education authority are responsible’. A child or young person in this position is defined as one who is ‘being or about to be provided with school education in a school under the management of the education authority’ (</w:t>
      </w:r>
      <w:proofErr w:type="gramStart"/>
      <w:r w:rsidR="00B37320">
        <w:t>s.29(</w:t>
      </w:r>
      <w:proofErr w:type="gramEnd"/>
      <w:r w:rsidR="00B37320">
        <w:t>3)(a) of the 2004 Act, the alternative in s.29(3)(b) being inapplicable in this case). So, the ‘decision, failure or information’ (s.18(1)) chosen from the list in s.18(3) as one which can afford access to the Tribunal,</w:t>
      </w:r>
      <w:r w:rsidR="00B37320" w:rsidRPr="003C5BFE">
        <w:rPr>
          <w:spacing w:val="40"/>
        </w:rPr>
        <w:t xml:space="preserve"> </w:t>
      </w:r>
      <w:r w:rsidR="00B37320">
        <w:t xml:space="preserve">may only be chosen in respect of a child who fits the s.29(3)(a) definition. Since </w:t>
      </w:r>
      <w:r w:rsidR="007027FA">
        <w:t>the child</w:t>
      </w:r>
      <w:r w:rsidR="00B37320">
        <w:t xml:space="preserve"> is currently in an independent school, and with no evidence of a plan to move back into an education authority school, he does not fall within the s.29(3)(a) definition and so a reference under s.18(1) involving him may</w:t>
      </w:r>
      <w:r w:rsidR="00B37320" w:rsidRPr="003C5BFE">
        <w:rPr>
          <w:spacing w:val="40"/>
        </w:rPr>
        <w:t xml:space="preserve"> </w:t>
      </w:r>
      <w:r w:rsidR="00B37320">
        <w:t>not</w:t>
      </w:r>
      <w:r w:rsidR="00B37320" w:rsidRPr="003C5BFE">
        <w:rPr>
          <w:spacing w:val="-2"/>
        </w:rPr>
        <w:t xml:space="preserve"> </w:t>
      </w:r>
      <w:r w:rsidR="00B37320">
        <w:t>be</w:t>
      </w:r>
      <w:r w:rsidR="00B37320" w:rsidRPr="003C5BFE">
        <w:rPr>
          <w:spacing w:val="-3"/>
        </w:rPr>
        <w:t xml:space="preserve"> </w:t>
      </w:r>
      <w:r w:rsidR="00B37320">
        <w:t>made.</w:t>
      </w:r>
      <w:r w:rsidR="00B37320" w:rsidRPr="003C5BFE">
        <w:rPr>
          <w:spacing w:val="-4"/>
        </w:rPr>
        <w:t xml:space="preserve"> </w:t>
      </w:r>
      <w:r w:rsidR="00B37320">
        <w:t>This</w:t>
      </w:r>
      <w:r w:rsidR="00B37320" w:rsidRPr="003C5BFE">
        <w:rPr>
          <w:spacing w:val="-2"/>
        </w:rPr>
        <w:t xml:space="preserve"> </w:t>
      </w:r>
      <w:r w:rsidR="00B37320">
        <w:t>argument</w:t>
      </w:r>
      <w:r w:rsidR="00B37320" w:rsidRPr="003C5BFE">
        <w:rPr>
          <w:spacing w:val="-1"/>
        </w:rPr>
        <w:t xml:space="preserve"> </w:t>
      </w:r>
      <w:r w:rsidR="00B37320">
        <w:t>is</w:t>
      </w:r>
      <w:r w:rsidR="00B37320" w:rsidRPr="003C5BFE">
        <w:rPr>
          <w:spacing w:val="-3"/>
        </w:rPr>
        <w:t xml:space="preserve"> </w:t>
      </w:r>
      <w:r w:rsidR="00B37320">
        <w:t>bolstered</w:t>
      </w:r>
      <w:r w:rsidR="00B37320" w:rsidRPr="003C5BFE">
        <w:rPr>
          <w:spacing w:val="-3"/>
        </w:rPr>
        <w:t xml:space="preserve"> </w:t>
      </w:r>
      <w:r w:rsidR="00B37320">
        <w:t>by</w:t>
      </w:r>
      <w:r w:rsidR="00B37320" w:rsidRPr="003C5BFE">
        <w:rPr>
          <w:spacing w:val="-5"/>
        </w:rPr>
        <w:t xml:space="preserve"> </w:t>
      </w:r>
      <w:r w:rsidR="00B37320">
        <w:t>the</w:t>
      </w:r>
      <w:r w:rsidR="00B37320" w:rsidRPr="003C5BFE">
        <w:rPr>
          <w:spacing w:val="-3"/>
        </w:rPr>
        <w:t xml:space="preserve"> </w:t>
      </w:r>
      <w:r w:rsidR="003C5BFE">
        <w:t>wording of s</w:t>
      </w:r>
      <w:r w:rsidR="00B37320">
        <w:t>chedule</w:t>
      </w:r>
      <w:r w:rsidR="00B37320" w:rsidRPr="003C5BFE">
        <w:rPr>
          <w:spacing w:val="-3"/>
        </w:rPr>
        <w:t xml:space="preserve"> </w:t>
      </w:r>
      <w:r w:rsidR="00B37320">
        <w:t>2,</w:t>
      </w:r>
      <w:r w:rsidR="00B37320" w:rsidRPr="003C5BFE">
        <w:rPr>
          <w:spacing w:val="-1"/>
        </w:rPr>
        <w:t xml:space="preserve"> </w:t>
      </w:r>
      <w:r w:rsidR="00B37320">
        <w:t>para</w:t>
      </w:r>
      <w:r w:rsidR="00B37320" w:rsidRPr="003C5BFE">
        <w:rPr>
          <w:spacing w:val="-3"/>
        </w:rPr>
        <w:t xml:space="preserve"> </w:t>
      </w:r>
      <w:r w:rsidR="00B37320">
        <w:t>5(1)</w:t>
      </w:r>
      <w:r w:rsidR="00B37320" w:rsidRPr="003C5BFE">
        <w:rPr>
          <w:spacing w:val="-1"/>
        </w:rPr>
        <w:t xml:space="preserve"> </w:t>
      </w:r>
      <w:r w:rsidR="00B37320" w:rsidRPr="003C5BFE">
        <w:rPr>
          <w:spacing w:val="-5"/>
        </w:rPr>
        <w:t>and</w:t>
      </w:r>
      <w:r>
        <w:t xml:space="preserve"> </w:t>
      </w:r>
      <w:r w:rsidR="00B37320">
        <w:t xml:space="preserve">(2) of the 2004 Act. These provisions set out that a refusal decision may be challenged in the EAC, unless the decision may be referred to this Tribunal under </w:t>
      </w:r>
      <w:proofErr w:type="gramStart"/>
      <w:r w:rsidR="00B37320" w:rsidRPr="003C5BFE">
        <w:rPr>
          <w:spacing w:val="-2"/>
        </w:rPr>
        <w:t>s.18(</w:t>
      </w:r>
      <w:proofErr w:type="gramEnd"/>
      <w:r w:rsidR="00B37320" w:rsidRPr="003C5BFE">
        <w:rPr>
          <w:spacing w:val="-2"/>
        </w:rPr>
        <w:t>1).</w:t>
      </w:r>
    </w:p>
    <w:p w14:paraId="280F95B3" w14:textId="77777777" w:rsidR="00B478CB" w:rsidRDefault="00B478CB">
      <w:pPr>
        <w:pStyle w:val="BodyText"/>
        <w:spacing w:before="10"/>
        <w:rPr>
          <w:sz w:val="21"/>
        </w:rPr>
      </w:pPr>
    </w:p>
    <w:p w14:paraId="78EEC7DE" w14:textId="77777777" w:rsidR="00B478CB" w:rsidRDefault="00B37320">
      <w:pPr>
        <w:pStyle w:val="ListParagraph"/>
        <w:numPr>
          <w:ilvl w:val="0"/>
          <w:numId w:val="1"/>
        </w:numPr>
        <w:tabs>
          <w:tab w:val="left" w:pos="390"/>
        </w:tabs>
        <w:spacing w:before="1"/>
        <w:ind w:left="140" w:right="135" w:firstLine="0"/>
        <w:jc w:val="both"/>
      </w:pPr>
      <w:r>
        <w:t>Had that been an end to the matter, my</w:t>
      </w:r>
      <w:r>
        <w:rPr>
          <w:spacing w:val="-1"/>
        </w:rPr>
        <w:t xml:space="preserve"> </w:t>
      </w:r>
      <w:r>
        <w:t xml:space="preserve">decision would have been straightforward. However, there is an alternative interpretation. The ground of refusal relied upon in this case is the one set out in </w:t>
      </w:r>
      <w:proofErr w:type="gramStart"/>
      <w:r>
        <w:t>s.18(</w:t>
      </w:r>
      <w:proofErr w:type="gramEnd"/>
      <w:r>
        <w:t>3)(da) of the 2004 Act. That ground refers to a plac</w:t>
      </w:r>
      <w:r w:rsidR="003C5BFE">
        <w:t>ing request as provided for in s</w:t>
      </w:r>
      <w:r>
        <w:t>chedule 2 paras 2(2) and (3) of the 2004 Act. There, the intention seems to be that such a request is one which is made ‘to the education authority for the area to which the child belongs’. This would appear to apply to a child who lives in the relevant area, whether or not he/she is being</w:t>
      </w:r>
      <w:r w:rsidR="003C5BFE">
        <w:rPr>
          <w:spacing w:val="40"/>
        </w:rPr>
        <w:t xml:space="preserve"> </w:t>
      </w:r>
      <w:r>
        <w:t xml:space="preserve">provided with an education in an education authority school. This test is explicitly incorporated into </w:t>
      </w:r>
      <w:proofErr w:type="gramStart"/>
      <w:r>
        <w:t>s.18(</w:t>
      </w:r>
      <w:proofErr w:type="gramEnd"/>
      <w:r>
        <w:t>3)(da) via the defi</w:t>
      </w:r>
      <w:r w:rsidR="003C5BFE">
        <w:t>nition of ‘placing request’ in s</w:t>
      </w:r>
      <w:r>
        <w:t>chedule 2</w:t>
      </w:r>
      <w:r>
        <w:rPr>
          <w:spacing w:val="40"/>
        </w:rPr>
        <w:t xml:space="preserve"> </w:t>
      </w:r>
      <w:r>
        <w:t xml:space="preserve">paras 2(2) and (3). On the face of it, therefore, there is a clash since both tests appear in s.18, one in </w:t>
      </w:r>
      <w:proofErr w:type="gramStart"/>
      <w:r>
        <w:t>s.18(</w:t>
      </w:r>
      <w:proofErr w:type="gramEnd"/>
      <w:r>
        <w:t xml:space="preserve">1), the other in s.18(3)(da). If the test applicable in the latter provision were the correct one, this reference would be valid, since </w:t>
      </w:r>
      <w:r w:rsidR="007027FA">
        <w:t>the child</w:t>
      </w:r>
      <w:r>
        <w:t xml:space="preserve"> is a</w:t>
      </w:r>
      <w:r>
        <w:rPr>
          <w:spacing w:val="40"/>
        </w:rPr>
        <w:t xml:space="preserve"> </w:t>
      </w:r>
      <w:r w:rsidR="00281B1A">
        <w:t>child who belongs to the r</w:t>
      </w:r>
      <w:r>
        <w:t>espondent’s local authority area.</w:t>
      </w:r>
    </w:p>
    <w:p w14:paraId="7B7699AA" w14:textId="77777777" w:rsidR="00B478CB" w:rsidRDefault="00B478CB">
      <w:pPr>
        <w:pStyle w:val="BodyText"/>
        <w:spacing w:before="11"/>
        <w:rPr>
          <w:sz w:val="21"/>
        </w:rPr>
      </w:pPr>
    </w:p>
    <w:p w14:paraId="0FF1FF14" w14:textId="77777777" w:rsidR="00281B1A" w:rsidRDefault="00B37320" w:rsidP="00281B1A">
      <w:pPr>
        <w:pStyle w:val="ListParagraph"/>
        <w:numPr>
          <w:ilvl w:val="0"/>
          <w:numId w:val="1"/>
        </w:numPr>
        <w:tabs>
          <w:tab w:val="left" w:pos="397"/>
        </w:tabs>
        <w:ind w:left="140" w:right="137" w:firstLine="0"/>
        <w:jc w:val="both"/>
      </w:pPr>
      <w:r>
        <w:lastRenderedPageBreak/>
        <w:t>I had considerable difficulty in reaching a decision as to which test prevails. I note that there is a principle of interpretation of legislation which suggests that the specific overrides the general, and this might be said to apply here. In addition, it seems to</w:t>
      </w:r>
      <w:r>
        <w:rPr>
          <w:spacing w:val="40"/>
        </w:rPr>
        <w:t xml:space="preserve"> </w:t>
      </w:r>
      <w:r>
        <w:t>me that this clash may have arisen as a result of the amendments to the 2004 Act which took place by the Education (Additional Support for Learning)(Scotland) Act 2009 (‘the 2009 Act’). These changes converted s.18 from a section which made provision</w:t>
      </w:r>
      <w:r>
        <w:rPr>
          <w:spacing w:val="-3"/>
        </w:rPr>
        <w:t xml:space="preserve"> </w:t>
      </w:r>
      <w:r>
        <w:t>for</w:t>
      </w:r>
      <w:r>
        <w:rPr>
          <w:spacing w:val="-1"/>
        </w:rPr>
        <w:t xml:space="preserve"> </w:t>
      </w:r>
      <w:r>
        <w:t>references</w:t>
      </w:r>
      <w:r>
        <w:rPr>
          <w:spacing w:val="-5"/>
        </w:rPr>
        <w:t xml:space="preserve"> </w:t>
      </w:r>
      <w:r>
        <w:t>to</w:t>
      </w:r>
      <w:r>
        <w:rPr>
          <w:spacing w:val="-3"/>
        </w:rPr>
        <w:t xml:space="preserve"> </w:t>
      </w:r>
      <w:r>
        <w:t>the</w:t>
      </w:r>
      <w:r>
        <w:rPr>
          <w:spacing w:val="-5"/>
        </w:rPr>
        <w:t xml:space="preserve"> </w:t>
      </w:r>
      <w:r>
        <w:t>Tribunal</w:t>
      </w:r>
      <w:r>
        <w:rPr>
          <w:spacing w:val="-3"/>
        </w:rPr>
        <w:t xml:space="preserve"> </w:t>
      </w:r>
      <w:r>
        <w:t>where</w:t>
      </w:r>
      <w:r>
        <w:rPr>
          <w:spacing w:val="-3"/>
        </w:rPr>
        <w:t xml:space="preserve"> </w:t>
      </w:r>
      <w:r>
        <w:t>a</w:t>
      </w:r>
      <w:r>
        <w:rPr>
          <w:spacing w:val="-3"/>
        </w:rPr>
        <w:t xml:space="preserve"> </w:t>
      </w:r>
      <w:r>
        <w:t>CSP</w:t>
      </w:r>
      <w:r>
        <w:rPr>
          <w:spacing w:val="-3"/>
        </w:rPr>
        <w:t xml:space="preserve"> </w:t>
      </w:r>
      <w:r>
        <w:t>was</w:t>
      </w:r>
      <w:r>
        <w:rPr>
          <w:spacing w:val="-2"/>
        </w:rPr>
        <w:t xml:space="preserve"> </w:t>
      </w:r>
      <w:r>
        <w:t>in</w:t>
      </w:r>
      <w:r>
        <w:rPr>
          <w:spacing w:val="-3"/>
        </w:rPr>
        <w:t xml:space="preserve"> </w:t>
      </w:r>
      <w:r>
        <w:t>place/in</w:t>
      </w:r>
      <w:r>
        <w:rPr>
          <w:spacing w:val="-3"/>
        </w:rPr>
        <w:t xml:space="preserve"> </w:t>
      </w:r>
      <w:r>
        <w:t>contemplation</w:t>
      </w:r>
      <w:r>
        <w:rPr>
          <w:spacing w:val="-3"/>
        </w:rPr>
        <w:t xml:space="preserve"> </w:t>
      </w:r>
      <w:r>
        <w:t xml:space="preserve">to one which is wider in scope. Indeed, </w:t>
      </w:r>
      <w:proofErr w:type="gramStart"/>
      <w:r>
        <w:t>s.18(</w:t>
      </w:r>
      <w:proofErr w:type="gramEnd"/>
      <w:r>
        <w:t>3)(da) appears to be the only provision (excepting the rather obscure provision in s.18(3)(g)) which does not depend on</w:t>
      </w:r>
      <w:r>
        <w:rPr>
          <w:spacing w:val="40"/>
        </w:rPr>
        <w:t xml:space="preserve"> </w:t>
      </w:r>
      <w:r>
        <w:t>there being in place/in contemplation a CSP. This links back to the definition of a</w:t>
      </w:r>
      <w:r>
        <w:rPr>
          <w:spacing w:val="40"/>
        </w:rPr>
        <w:t xml:space="preserve"> </w:t>
      </w:r>
      <w:r>
        <w:t>CSP</w:t>
      </w:r>
      <w:r>
        <w:rPr>
          <w:spacing w:val="-1"/>
        </w:rPr>
        <w:t xml:space="preserve"> </w:t>
      </w:r>
      <w:r>
        <w:t>in</w:t>
      </w:r>
      <w:r>
        <w:rPr>
          <w:spacing w:val="-1"/>
        </w:rPr>
        <w:t xml:space="preserve"> </w:t>
      </w:r>
      <w:r>
        <w:t>s.2</w:t>
      </w:r>
      <w:r>
        <w:rPr>
          <w:spacing w:val="-1"/>
        </w:rPr>
        <w:t xml:space="preserve"> </w:t>
      </w:r>
      <w:r>
        <w:t>of the</w:t>
      </w:r>
      <w:r>
        <w:rPr>
          <w:spacing w:val="-1"/>
        </w:rPr>
        <w:t xml:space="preserve"> </w:t>
      </w:r>
      <w:r>
        <w:t>2004</w:t>
      </w:r>
      <w:r>
        <w:rPr>
          <w:spacing w:val="-1"/>
        </w:rPr>
        <w:t xml:space="preserve"> </w:t>
      </w:r>
      <w:r>
        <w:t>Act, which</w:t>
      </w:r>
      <w:r>
        <w:rPr>
          <w:spacing w:val="-1"/>
        </w:rPr>
        <w:t xml:space="preserve"> </w:t>
      </w:r>
      <w:r>
        <w:t>provides that such</w:t>
      </w:r>
      <w:r>
        <w:rPr>
          <w:spacing w:val="-1"/>
        </w:rPr>
        <w:t xml:space="preserve"> </w:t>
      </w:r>
      <w:r>
        <w:t>a</w:t>
      </w:r>
      <w:r>
        <w:rPr>
          <w:spacing w:val="-1"/>
        </w:rPr>
        <w:t xml:space="preserve"> </w:t>
      </w:r>
      <w:r>
        <w:t>plan</w:t>
      </w:r>
      <w:r>
        <w:rPr>
          <w:spacing w:val="-1"/>
        </w:rPr>
        <w:t xml:space="preserve"> </w:t>
      </w:r>
      <w:r>
        <w:t>may</w:t>
      </w:r>
      <w:r>
        <w:rPr>
          <w:spacing w:val="-3"/>
        </w:rPr>
        <w:t xml:space="preserve"> </w:t>
      </w:r>
      <w:r>
        <w:t>only</w:t>
      </w:r>
      <w:r>
        <w:rPr>
          <w:spacing w:val="-3"/>
        </w:rPr>
        <w:t xml:space="preserve"> </w:t>
      </w:r>
      <w:r>
        <w:t>be</w:t>
      </w:r>
      <w:r>
        <w:rPr>
          <w:spacing w:val="-1"/>
        </w:rPr>
        <w:t xml:space="preserve"> </w:t>
      </w:r>
      <w:r>
        <w:t>prepared</w:t>
      </w:r>
      <w:r>
        <w:rPr>
          <w:spacing w:val="-3"/>
        </w:rPr>
        <w:t xml:space="preserve"> </w:t>
      </w:r>
      <w:r>
        <w:t xml:space="preserve">for a child or young person for whose education an education authority is responsible. It is not surprising, then, that </w:t>
      </w:r>
      <w:proofErr w:type="gramStart"/>
      <w:r>
        <w:t>s18(</w:t>
      </w:r>
      <w:proofErr w:type="gramEnd"/>
      <w:r>
        <w:t>1) as originally enacted was restricted to such children, given that s.2 applies only to those children.</w:t>
      </w:r>
      <w:r>
        <w:rPr>
          <w:spacing w:val="40"/>
        </w:rPr>
        <w:t xml:space="preserve"> </w:t>
      </w:r>
      <w:r>
        <w:t xml:space="preserve">Arguably, when Parliament enacted the 2009 Act, in adding </w:t>
      </w:r>
      <w:proofErr w:type="gramStart"/>
      <w:r w:rsidR="00281B1A">
        <w:t>s.18(</w:t>
      </w:r>
      <w:proofErr w:type="gramEnd"/>
      <w:r w:rsidR="00281B1A">
        <w:t>3)(da), it had its eye on s</w:t>
      </w:r>
      <w:r>
        <w:t>chedule 2, paras 2(2) and (3) – the former is specifically mentioned there – and not on s.18(1), and so omitted to amend s.18(1) to cater for non-CSP related references.</w:t>
      </w:r>
    </w:p>
    <w:p w14:paraId="51D36088" w14:textId="77777777" w:rsidR="00281B1A" w:rsidRDefault="00281B1A" w:rsidP="00281B1A">
      <w:pPr>
        <w:pStyle w:val="ListParagraph"/>
        <w:tabs>
          <w:tab w:val="left" w:pos="397"/>
        </w:tabs>
        <w:ind w:right="137"/>
        <w:jc w:val="left"/>
      </w:pPr>
    </w:p>
    <w:p w14:paraId="352B1913" w14:textId="77777777" w:rsidR="00281B1A" w:rsidRDefault="00B37320" w:rsidP="00281B1A">
      <w:pPr>
        <w:pStyle w:val="ListParagraph"/>
        <w:numPr>
          <w:ilvl w:val="0"/>
          <w:numId w:val="1"/>
        </w:numPr>
        <w:tabs>
          <w:tab w:val="left" w:pos="397"/>
        </w:tabs>
        <w:ind w:left="140" w:right="137" w:firstLine="0"/>
        <w:jc w:val="both"/>
      </w:pPr>
      <w:r>
        <w:t xml:space="preserve">For a while, this line of reasoning was attractive to me, and I felt that the clash of tests could be resolved in </w:t>
      </w:r>
      <w:proofErr w:type="spellStart"/>
      <w:r>
        <w:t>favour</w:t>
      </w:r>
      <w:proofErr w:type="spellEnd"/>
      <w:r>
        <w:t xml:space="preserve"> of the</w:t>
      </w:r>
      <w:r w:rsidR="00281B1A">
        <w:t xml:space="preserve"> one in s</w:t>
      </w:r>
      <w:r>
        <w:t>chedule 2. However, on considering the parties submissions, and in parti</w:t>
      </w:r>
      <w:r w:rsidR="00281B1A">
        <w:t>cular the unequivocal terms of s</w:t>
      </w:r>
      <w:r>
        <w:t>chedule 2, para 5(2)</w:t>
      </w:r>
      <w:r w:rsidRPr="00281B1A">
        <w:rPr>
          <w:spacing w:val="31"/>
        </w:rPr>
        <w:t xml:space="preserve"> </w:t>
      </w:r>
      <w:r>
        <w:t>of</w:t>
      </w:r>
      <w:r w:rsidRPr="00281B1A">
        <w:rPr>
          <w:spacing w:val="31"/>
        </w:rPr>
        <w:t xml:space="preserve"> </w:t>
      </w:r>
      <w:r>
        <w:t>the</w:t>
      </w:r>
      <w:r w:rsidRPr="00281B1A">
        <w:rPr>
          <w:spacing w:val="29"/>
        </w:rPr>
        <w:t xml:space="preserve"> </w:t>
      </w:r>
      <w:r>
        <w:t>2004</w:t>
      </w:r>
      <w:r w:rsidRPr="00281B1A">
        <w:rPr>
          <w:spacing w:val="27"/>
        </w:rPr>
        <w:t xml:space="preserve"> </w:t>
      </w:r>
      <w:r>
        <w:t>Act,</w:t>
      </w:r>
      <w:r w:rsidRPr="00281B1A">
        <w:rPr>
          <w:spacing w:val="31"/>
        </w:rPr>
        <w:t xml:space="preserve"> </w:t>
      </w:r>
      <w:r>
        <w:t>I</w:t>
      </w:r>
      <w:r w:rsidRPr="00281B1A">
        <w:rPr>
          <w:spacing w:val="28"/>
        </w:rPr>
        <w:t xml:space="preserve"> </w:t>
      </w:r>
      <w:r>
        <w:t>have</w:t>
      </w:r>
      <w:r w:rsidRPr="00281B1A">
        <w:rPr>
          <w:spacing w:val="29"/>
        </w:rPr>
        <w:t xml:space="preserve"> </w:t>
      </w:r>
      <w:r>
        <w:t>decided</w:t>
      </w:r>
      <w:r w:rsidRPr="00281B1A">
        <w:rPr>
          <w:spacing w:val="29"/>
        </w:rPr>
        <w:t xml:space="preserve"> </w:t>
      </w:r>
      <w:r>
        <w:t>that</w:t>
      </w:r>
      <w:r w:rsidRPr="00281B1A">
        <w:rPr>
          <w:spacing w:val="31"/>
        </w:rPr>
        <w:t xml:space="preserve"> </w:t>
      </w:r>
      <w:r>
        <w:t>the</w:t>
      </w:r>
      <w:r w:rsidRPr="00281B1A">
        <w:rPr>
          <w:spacing w:val="27"/>
        </w:rPr>
        <w:t xml:space="preserve"> </w:t>
      </w:r>
      <w:r>
        <w:t>test</w:t>
      </w:r>
      <w:r w:rsidRPr="00281B1A">
        <w:rPr>
          <w:spacing w:val="31"/>
        </w:rPr>
        <w:t xml:space="preserve"> </w:t>
      </w:r>
      <w:r>
        <w:t>in</w:t>
      </w:r>
      <w:r w:rsidRPr="00281B1A">
        <w:rPr>
          <w:spacing w:val="29"/>
        </w:rPr>
        <w:t xml:space="preserve"> </w:t>
      </w:r>
      <w:proofErr w:type="gramStart"/>
      <w:r>
        <w:t>s.18(</w:t>
      </w:r>
      <w:proofErr w:type="gramEnd"/>
      <w:r>
        <w:t>1)</w:t>
      </w:r>
      <w:r w:rsidRPr="00281B1A">
        <w:rPr>
          <w:spacing w:val="31"/>
        </w:rPr>
        <w:t xml:space="preserve"> </w:t>
      </w:r>
      <w:r>
        <w:t>is</w:t>
      </w:r>
      <w:r w:rsidRPr="00281B1A">
        <w:rPr>
          <w:spacing w:val="28"/>
        </w:rPr>
        <w:t xml:space="preserve"> </w:t>
      </w:r>
      <w:r>
        <w:t>the</w:t>
      </w:r>
      <w:r w:rsidRPr="00281B1A">
        <w:rPr>
          <w:spacing w:val="29"/>
        </w:rPr>
        <w:t xml:space="preserve"> </w:t>
      </w:r>
      <w:r>
        <w:t>applicable</w:t>
      </w:r>
      <w:r w:rsidRPr="00281B1A">
        <w:rPr>
          <w:spacing w:val="29"/>
        </w:rPr>
        <w:t xml:space="preserve"> </w:t>
      </w:r>
      <w:r w:rsidR="00281B1A">
        <w:t>test.</w:t>
      </w:r>
      <w:r w:rsidR="00281B1A" w:rsidRPr="00281B1A">
        <w:t xml:space="preserve"> </w:t>
      </w:r>
      <w:r w:rsidR="00281B1A">
        <w:t xml:space="preserve">After all, schedule 2 to the 2004 Act has not been amended, and so Parliament has had in mind since the outset the test in </w:t>
      </w:r>
      <w:proofErr w:type="gramStart"/>
      <w:r w:rsidR="00281B1A">
        <w:t>s.18(</w:t>
      </w:r>
      <w:proofErr w:type="gramEnd"/>
      <w:r w:rsidR="00281B1A">
        <w:t xml:space="preserve">1), even when the schedule 2 para 2(2) test was in place. This tips the balance, in my view, in </w:t>
      </w:r>
      <w:proofErr w:type="spellStart"/>
      <w:r w:rsidR="00281B1A">
        <w:t>favour</w:t>
      </w:r>
      <w:proofErr w:type="spellEnd"/>
      <w:r w:rsidR="00281B1A">
        <w:t xml:space="preserve"> of the </w:t>
      </w:r>
      <w:proofErr w:type="gramStart"/>
      <w:r w:rsidR="00281B1A">
        <w:t>s.18(</w:t>
      </w:r>
      <w:proofErr w:type="gramEnd"/>
      <w:r w:rsidR="00281B1A">
        <w:t>1) test. I should add that this decision is in line with the outcome in three other Convener decisions on this point, albeit that the reasoning employed here is not used in those other cases.</w:t>
      </w:r>
    </w:p>
    <w:p w14:paraId="516DB54F" w14:textId="77777777" w:rsidR="00281B1A" w:rsidRDefault="00281B1A" w:rsidP="00281B1A">
      <w:pPr>
        <w:pStyle w:val="BodyText"/>
      </w:pPr>
    </w:p>
    <w:p w14:paraId="78D17582" w14:textId="77777777" w:rsidR="00281B1A" w:rsidRDefault="00281B1A" w:rsidP="00281B1A">
      <w:pPr>
        <w:pStyle w:val="BodyText"/>
        <w:ind w:left="140"/>
        <w:jc w:val="both"/>
      </w:pPr>
      <w:r>
        <w:rPr>
          <w:u w:val="single"/>
        </w:rPr>
        <w:t>Other</w:t>
      </w:r>
      <w:r>
        <w:rPr>
          <w:spacing w:val="-2"/>
          <w:u w:val="single"/>
        </w:rPr>
        <w:t xml:space="preserve"> comments</w:t>
      </w:r>
    </w:p>
    <w:p w14:paraId="1695E5F4" w14:textId="77777777" w:rsidR="00281B1A" w:rsidRDefault="00281B1A" w:rsidP="00281B1A">
      <w:pPr>
        <w:pStyle w:val="BodyText"/>
        <w:spacing w:before="10"/>
        <w:rPr>
          <w:sz w:val="13"/>
        </w:rPr>
      </w:pPr>
    </w:p>
    <w:p w14:paraId="0FA38082" w14:textId="77777777" w:rsidR="00281B1A" w:rsidRDefault="00281B1A" w:rsidP="00281B1A">
      <w:pPr>
        <w:pStyle w:val="ListParagraph"/>
        <w:numPr>
          <w:ilvl w:val="0"/>
          <w:numId w:val="1"/>
        </w:numPr>
        <w:tabs>
          <w:tab w:val="left" w:pos="419"/>
        </w:tabs>
        <w:spacing w:before="94"/>
        <w:ind w:left="140" w:firstLine="0"/>
        <w:jc w:val="both"/>
      </w:pPr>
      <w:r>
        <w:t xml:space="preserve">Part of my hesitancy in reaching this decision is that I can think of no sensible </w:t>
      </w:r>
      <w:r>
        <w:lastRenderedPageBreak/>
        <w:t>reason for Parliament to wish to split cases involving children with additional support needs between the two jurisdictions (this Tribunal and the EAC). Indeed, the very purpose of creating this Tribunal was to provide a subject specialist forum in which to make decisions for all children with such needs. I hope this matter can be resolved satisfactorily in the future.</w:t>
      </w:r>
    </w:p>
    <w:p w14:paraId="0E85BDEB" w14:textId="77777777" w:rsidR="00281B1A" w:rsidRDefault="00281B1A" w:rsidP="00281B1A">
      <w:pPr>
        <w:pStyle w:val="BodyText"/>
      </w:pPr>
    </w:p>
    <w:p w14:paraId="3BD386CF" w14:textId="77777777" w:rsidR="00281B1A" w:rsidRDefault="00281B1A" w:rsidP="00281B1A">
      <w:pPr>
        <w:pStyle w:val="ListParagraph"/>
        <w:numPr>
          <w:ilvl w:val="0"/>
          <w:numId w:val="1"/>
        </w:numPr>
        <w:tabs>
          <w:tab w:val="left" w:pos="392"/>
        </w:tabs>
        <w:ind w:firstLine="0"/>
        <w:jc w:val="both"/>
      </w:pPr>
      <w:r>
        <w:t>Finally, I note that the</w:t>
      </w:r>
      <w:r>
        <w:rPr>
          <w:spacing w:val="-3"/>
        </w:rPr>
        <w:t xml:space="preserve"> </w:t>
      </w:r>
      <w:r>
        <w:t>respondent expressly leaves open the possibility of making a time bar argument in relation to the EAC reference. While it is a matter for the respondent to make any argument it sees fit, and for the EAC to rule on any such argument, it would, in my view, be very disappointing if the appellant is left without a potential route for redress in circumstances where neither party (both of whom have been</w:t>
      </w:r>
      <w:r>
        <w:rPr>
          <w:spacing w:val="-3"/>
        </w:rPr>
        <w:t xml:space="preserve"> </w:t>
      </w:r>
      <w:r>
        <w:t>legally</w:t>
      </w:r>
      <w:r>
        <w:rPr>
          <w:spacing w:val="-5"/>
        </w:rPr>
        <w:t xml:space="preserve"> </w:t>
      </w:r>
      <w:r>
        <w:t>represented</w:t>
      </w:r>
      <w:r>
        <w:rPr>
          <w:spacing w:val="-5"/>
        </w:rPr>
        <w:t xml:space="preserve"> </w:t>
      </w:r>
      <w:r>
        <w:t>throughout)</w:t>
      </w:r>
      <w:r>
        <w:rPr>
          <w:spacing w:val="-1"/>
        </w:rPr>
        <w:t xml:space="preserve"> </w:t>
      </w:r>
      <w:r>
        <w:t>spotted</w:t>
      </w:r>
      <w:r>
        <w:rPr>
          <w:spacing w:val="-5"/>
        </w:rPr>
        <w:t xml:space="preserve"> </w:t>
      </w:r>
      <w:r>
        <w:t>the</w:t>
      </w:r>
      <w:r>
        <w:rPr>
          <w:spacing w:val="-5"/>
        </w:rPr>
        <w:t xml:space="preserve"> </w:t>
      </w:r>
      <w:r>
        <w:t>jurisdiction</w:t>
      </w:r>
      <w:r>
        <w:rPr>
          <w:spacing w:val="-3"/>
        </w:rPr>
        <w:t xml:space="preserve"> </w:t>
      </w:r>
      <w:r>
        <w:t>issue</w:t>
      </w:r>
      <w:r>
        <w:rPr>
          <w:spacing w:val="-3"/>
        </w:rPr>
        <w:t xml:space="preserve"> </w:t>
      </w:r>
      <w:r>
        <w:t>at</w:t>
      </w:r>
      <w:r>
        <w:rPr>
          <w:spacing w:val="-1"/>
        </w:rPr>
        <w:t xml:space="preserve"> </w:t>
      </w:r>
      <w:r>
        <w:t>an</w:t>
      </w:r>
      <w:r>
        <w:rPr>
          <w:spacing w:val="-5"/>
        </w:rPr>
        <w:t xml:space="preserve"> </w:t>
      </w:r>
      <w:r>
        <w:t>earlier</w:t>
      </w:r>
      <w:r>
        <w:rPr>
          <w:spacing w:val="-1"/>
        </w:rPr>
        <w:t xml:space="preserve"> </w:t>
      </w:r>
      <w:r>
        <w:t>stage. This is no criticism of the legal representation for either party (and I note the</w:t>
      </w:r>
      <w:r>
        <w:rPr>
          <w:spacing w:val="40"/>
        </w:rPr>
        <w:t xml:space="preserve"> </w:t>
      </w:r>
      <w:r>
        <w:t>appellant has recently changed representative) since the point is an obscure one. It would be unfortunate, however, if one party was able to gain an advantage from this situation. It would also, I would add, hardly serve the interests of the child for a route to an important decision on his education to be blocked on technical legal grounds.</w:t>
      </w:r>
    </w:p>
    <w:p w14:paraId="3CE79402" w14:textId="77777777" w:rsidR="00281B1A" w:rsidRDefault="00281B1A" w:rsidP="00281B1A">
      <w:pPr>
        <w:pStyle w:val="BodyText"/>
        <w:spacing w:before="9"/>
        <w:rPr>
          <w:sz w:val="21"/>
        </w:rPr>
      </w:pPr>
    </w:p>
    <w:p w14:paraId="1B25DE48" w14:textId="77777777" w:rsidR="00281B1A" w:rsidRDefault="00281B1A" w:rsidP="00281B1A">
      <w:pPr>
        <w:pStyle w:val="ListParagraph"/>
        <w:numPr>
          <w:ilvl w:val="0"/>
          <w:numId w:val="1"/>
        </w:numPr>
        <w:tabs>
          <w:tab w:val="left" w:pos="419"/>
        </w:tabs>
        <w:ind w:left="140" w:firstLine="0"/>
        <w:jc w:val="both"/>
      </w:pPr>
      <w:r>
        <w:t xml:space="preserve">These additional comments are, of course, </w:t>
      </w:r>
      <w:proofErr w:type="spellStart"/>
      <w:r>
        <w:t>outwith</w:t>
      </w:r>
      <w:proofErr w:type="spellEnd"/>
      <w:r>
        <w:t xml:space="preserve"> my jurisdiction, but they are offered for what they are worth.</w:t>
      </w:r>
    </w:p>
    <w:p w14:paraId="16CD238F" w14:textId="77777777" w:rsidR="00B478CB" w:rsidRDefault="00B478CB" w:rsidP="00281B1A">
      <w:pPr>
        <w:pStyle w:val="ListParagraph"/>
        <w:numPr>
          <w:ilvl w:val="0"/>
          <w:numId w:val="1"/>
        </w:numPr>
        <w:tabs>
          <w:tab w:val="left" w:pos="400"/>
        </w:tabs>
        <w:ind w:left="140" w:right="135" w:firstLine="0"/>
        <w:jc w:val="both"/>
        <w:sectPr w:rsidR="00B478CB">
          <w:footerReference w:type="default" r:id="rId7"/>
          <w:pgSz w:w="11910" w:h="16840"/>
          <w:pgMar w:top="1340" w:right="1660" w:bottom="1720" w:left="1660" w:header="0" w:footer="1526" w:gutter="0"/>
          <w:cols w:space="720"/>
        </w:sectPr>
      </w:pPr>
    </w:p>
    <w:p w14:paraId="56D9EFA7" w14:textId="77777777" w:rsidR="00B478CB" w:rsidRDefault="00B478CB" w:rsidP="00281B1A">
      <w:pPr>
        <w:pStyle w:val="BodyText"/>
        <w:spacing w:before="79"/>
        <w:ind w:right="138"/>
        <w:jc w:val="both"/>
      </w:pPr>
    </w:p>
    <w:sectPr w:rsidR="00B478CB">
      <w:pgSz w:w="11910" w:h="16840"/>
      <w:pgMar w:top="1340" w:right="1660" w:bottom="1720" w:left="1660" w:header="0" w:footer="1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E09A" w14:textId="77777777" w:rsidR="00A9044C" w:rsidRDefault="00B37320">
      <w:r>
        <w:separator/>
      </w:r>
    </w:p>
  </w:endnote>
  <w:endnote w:type="continuationSeparator" w:id="0">
    <w:p w14:paraId="2F721219" w14:textId="77777777" w:rsidR="00A9044C" w:rsidRDefault="00B3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6B58" w14:textId="77777777" w:rsidR="00B478CB" w:rsidRDefault="00B478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2CB3E" w14:textId="77777777" w:rsidR="00A9044C" w:rsidRDefault="00B37320">
      <w:r>
        <w:separator/>
      </w:r>
    </w:p>
  </w:footnote>
  <w:footnote w:type="continuationSeparator" w:id="0">
    <w:p w14:paraId="0D0DC67C" w14:textId="77777777" w:rsidR="00A9044C" w:rsidRDefault="00B37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244C7"/>
    <w:multiLevelType w:val="hybridMultilevel"/>
    <w:tmpl w:val="B328B9F2"/>
    <w:lvl w:ilvl="0" w:tplc="0C708A46">
      <w:start w:val="1"/>
      <w:numFmt w:val="decimal"/>
      <w:lvlText w:val="%1."/>
      <w:lvlJc w:val="left"/>
      <w:pPr>
        <w:ind w:left="139" w:hanging="265"/>
        <w:jc w:val="left"/>
      </w:pPr>
      <w:rPr>
        <w:rFonts w:ascii="Arial" w:eastAsia="Arial" w:hAnsi="Arial" w:cs="Arial" w:hint="default"/>
        <w:b w:val="0"/>
        <w:bCs w:val="0"/>
        <w:i w:val="0"/>
        <w:iCs w:val="0"/>
        <w:spacing w:val="-1"/>
        <w:w w:val="100"/>
        <w:sz w:val="22"/>
        <w:szCs w:val="22"/>
        <w:lang w:val="en-US" w:eastAsia="en-US" w:bidi="ar-SA"/>
      </w:rPr>
    </w:lvl>
    <w:lvl w:ilvl="1" w:tplc="0C9634DA">
      <w:numFmt w:val="bullet"/>
      <w:lvlText w:val="•"/>
      <w:lvlJc w:val="left"/>
      <w:pPr>
        <w:ind w:left="984" w:hanging="265"/>
      </w:pPr>
      <w:rPr>
        <w:rFonts w:hint="default"/>
        <w:lang w:val="en-US" w:eastAsia="en-US" w:bidi="ar-SA"/>
      </w:rPr>
    </w:lvl>
    <w:lvl w:ilvl="2" w:tplc="117E5F56">
      <w:numFmt w:val="bullet"/>
      <w:lvlText w:val="•"/>
      <w:lvlJc w:val="left"/>
      <w:pPr>
        <w:ind w:left="1829" w:hanging="265"/>
      </w:pPr>
      <w:rPr>
        <w:rFonts w:hint="default"/>
        <w:lang w:val="en-US" w:eastAsia="en-US" w:bidi="ar-SA"/>
      </w:rPr>
    </w:lvl>
    <w:lvl w:ilvl="3" w:tplc="C37CF1A2">
      <w:numFmt w:val="bullet"/>
      <w:lvlText w:val="•"/>
      <w:lvlJc w:val="left"/>
      <w:pPr>
        <w:ind w:left="2673" w:hanging="265"/>
      </w:pPr>
      <w:rPr>
        <w:rFonts w:hint="default"/>
        <w:lang w:val="en-US" w:eastAsia="en-US" w:bidi="ar-SA"/>
      </w:rPr>
    </w:lvl>
    <w:lvl w:ilvl="4" w:tplc="7A34913C">
      <w:numFmt w:val="bullet"/>
      <w:lvlText w:val="•"/>
      <w:lvlJc w:val="left"/>
      <w:pPr>
        <w:ind w:left="3518" w:hanging="265"/>
      </w:pPr>
      <w:rPr>
        <w:rFonts w:hint="default"/>
        <w:lang w:val="en-US" w:eastAsia="en-US" w:bidi="ar-SA"/>
      </w:rPr>
    </w:lvl>
    <w:lvl w:ilvl="5" w:tplc="197AD380">
      <w:numFmt w:val="bullet"/>
      <w:lvlText w:val="•"/>
      <w:lvlJc w:val="left"/>
      <w:pPr>
        <w:ind w:left="4363" w:hanging="265"/>
      </w:pPr>
      <w:rPr>
        <w:rFonts w:hint="default"/>
        <w:lang w:val="en-US" w:eastAsia="en-US" w:bidi="ar-SA"/>
      </w:rPr>
    </w:lvl>
    <w:lvl w:ilvl="6" w:tplc="8946E5A0">
      <w:numFmt w:val="bullet"/>
      <w:lvlText w:val="•"/>
      <w:lvlJc w:val="left"/>
      <w:pPr>
        <w:ind w:left="5207" w:hanging="265"/>
      </w:pPr>
      <w:rPr>
        <w:rFonts w:hint="default"/>
        <w:lang w:val="en-US" w:eastAsia="en-US" w:bidi="ar-SA"/>
      </w:rPr>
    </w:lvl>
    <w:lvl w:ilvl="7" w:tplc="E1921B42">
      <w:numFmt w:val="bullet"/>
      <w:lvlText w:val="•"/>
      <w:lvlJc w:val="left"/>
      <w:pPr>
        <w:ind w:left="6052" w:hanging="265"/>
      </w:pPr>
      <w:rPr>
        <w:rFonts w:hint="default"/>
        <w:lang w:val="en-US" w:eastAsia="en-US" w:bidi="ar-SA"/>
      </w:rPr>
    </w:lvl>
    <w:lvl w:ilvl="8" w:tplc="34D65F84">
      <w:numFmt w:val="bullet"/>
      <w:lvlText w:val="•"/>
      <w:lvlJc w:val="left"/>
      <w:pPr>
        <w:ind w:left="6897" w:hanging="26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CB"/>
    <w:rsid w:val="0003727B"/>
    <w:rsid w:val="00097354"/>
    <w:rsid w:val="001C659A"/>
    <w:rsid w:val="00281B1A"/>
    <w:rsid w:val="003C5BFE"/>
    <w:rsid w:val="003F564D"/>
    <w:rsid w:val="00617FFC"/>
    <w:rsid w:val="007027FA"/>
    <w:rsid w:val="008149E1"/>
    <w:rsid w:val="00A9044C"/>
    <w:rsid w:val="00B37320"/>
    <w:rsid w:val="00B4030B"/>
    <w:rsid w:val="00B478CB"/>
    <w:rsid w:val="00D248C0"/>
    <w:rsid w:val="00FE60B8"/>
    <w:rsid w:val="00FF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78DC3"/>
  <w15:docId w15:val="{7630EEBB-9265-40A1-81DE-4C5E52C2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93"/>
      <w:ind w:left="2589" w:right="2589"/>
      <w:jc w:val="center"/>
    </w:pPr>
    <w:rPr>
      <w:b/>
      <w:bCs/>
      <w:sz w:val="24"/>
      <w:szCs w:val="24"/>
    </w:rPr>
  </w:style>
  <w:style w:type="paragraph" w:styleId="ListParagraph">
    <w:name w:val="List Paragraph"/>
    <w:basedOn w:val="Normal"/>
    <w:uiPriority w:val="1"/>
    <w:qFormat/>
    <w:pPr>
      <w:ind w:left="140" w:right="136"/>
      <w:jc w:val="both"/>
    </w:pPr>
  </w:style>
  <w:style w:type="paragraph" w:customStyle="1" w:styleId="TableParagraph">
    <w:name w:val="Table Paragraph"/>
    <w:basedOn w:val="Normal"/>
    <w:uiPriority w:val="1"/>
    <w:qFormat/>
    <w:pPr>
      <w:spacing w:before="73"/>
      <w:ind w:left="151"/>
    </w:pPr>
  </w:style>
  <w:style w:type="paragraph" w:styleId="Header">
    <w:name w:val="header"/>
    <w:basedOn w:val="Normal"/>
    <w:link w:val="HeaderChar"/>
    <w:uiPriority w:val="99"/>
    <w:unhideWhenUsed/>
    <w:rsid w:val="007027FA"/>
    <w:pPr>
      <w:tabs>
        <w:tab w:val="center" w:pos="4513"/>
        <w:tab w:val="right" w:pos="9026"/>
      </w:tabs>
    </w:pPr>
  </w:style>
  <w:style w:type="character" w:customStyle="1" w:styleId="HeaderChar">
    <w:name w:val="Header Char"/>
    <w:basedOn w:val="DefaultParagraphFont"/>
    <w:link w:val="Header"/>
    <w:uiPriority w:val="99"/>
    <w:rsid w:val="007027FA"/>
    <w:rPr>
      <w:rFonts w:ascii="Arial" w:eastAsia="Arial" w:hAnsi="Arial" w:cs="Arial"/>
    </w:rPr>
  </w:style>
  <w:style w:type="paragraph" w:styleId="Footer">
    <w:name w:val="footer"/>
    <w:basedOn w:val="Normal"/>
    <w:link w:val="FooterChar"/>
    <w:uiPriority w:val="99"/>
    <w:unhideWhenUsed/>
    <w:rsid w:val="007027FA"/>
    <w:pPr>
      <w:tabs>
        <w:tab w:val="center" w:pos="4513"/>
        <w:tab w:val="right" w:pos="9026"/>
      </w:tabs>
    </w:pPr>
  </w:style>
  <w:style w:type="character" w:customStyle="1" w:styleId="FooterChar">
    <w:name w:val="Footer Char"/>
    <w:basedOn w:val="DefaultParagraphFont"/>
    <w:link w:val="Footer"/>
    <w:uiPriority w:val="99"/>
    <w:rsid w:val="007027FA"/>
    <w:rPr>
      <w:rFonts w:ascii="Arial" w:eastAsia="Arial" w:hAnsi="Arial" w:cs="Arial"/>
    </w:rPr>
  </w:style>
  <w:style w:type="character" w:customStyle="1" w:styleId="BodyTextChar">
    <w:name w:val="Body Text Char"/>
    <w:basedOn w:val="DefaultParagraphFont"/>
    <w:link w:val="BodyText"/>
    <w:uiPriority w:val="1"/>
    <w:rsid w:val="00281B1A"/>
    <w:rPr>
      <w:rFonts w:ascii="Arial" w:eastAsia="Arial" w:hAnsi="Arial" w:cs="Arial"/>
    </w:rPr>
  </w:style>
  <w:style w:type="character" w:styleId="CommentReference">
    <w:name w:val="annotation reference"/>
    <w:basedOn w:val="DefaultParagraphFont"/>
    <w:uiPriority w:val="99"/>
    <w:semiHidden/>
    <w:unhideWhenUsed/>
    <w:rsid w:val="00617FFC"/>
    <w:rPr>
      <w:sz w:val="16"/>
      <w:szCs w:val="16"/>
    </w:rPr>
  </w:style>
  <w:style w:type="paragraph" w:styleId="CommentText">
    <w:name w:val="annotation text"/>
    <w:basedOn w:val="Normal"/>
    <w:link w:val="CommentTextChar"/>
    <w:uiPriority w:val="99"/>
    <w:semiHidden/>
    <w:unhideWhenUsed/>
    <w:rsid w:val="00617FFC"/>
    <w:rPr>
      <w:sz w:val="20"/>
      <w:szCs w:val="20"/>
    </w:rPr>
  </w:style>
  <w:style w:type="character" w:customStyle="1" w:styleId="CommentTextChar">
    <w:name w:val="Comment Text Char"/>
    <w:basedOn w:val="DefaultParagraphFont"/>
    <w:link w:val="CommentText"/>
    <w:uiPriority w:val="99"/>
    <w:semiHidden/>
    <w:rsid w:val="00617F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17FFC"/>
    <w:rPr>
      <w:b/>
      <w:bCs/>
    </w:rPr>
  </w:style>
  <w:style w:type="character" w:customStyle="1" w:styleId="CommentSubjectChar">
    <w:name w:val="Comment Subject Char"/>
    <w:basedOn w:val="CommentTextChar"/>
    <w:link w:val="CommentSubject"/>
    <w:uiPriority w:val="99"/>
    <w:semiHidden/>
    <w:rsid w:val="00617FFC"/>
    <w:rPr>
      <w:rFonts w:ascii="Arial" w:eastAsia="Arial" w:hAnsi="Arial" w:cs="Arial"/>
      <w:b/>
      <w:bCs/>
      <w:sz w:val="20"/>
      <w:szCs w:val="20"/>
    </w:rPr>
  </w:style>
  <w:style w:type="paragraph" w:styleId="BalloonText">
    <w:name w:val="Balloon Text"/>
    <w:basedOn w:val="Normal"/>
    <w:link w:val="BalloonTextChar"/>
    <w:uiPriority w:val="99"/>
    <w:semiHidden/>
    <w:unhideWhenUsed/>
    <w:rsid w:val="00617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FF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LOGO</vt:lpstr>
    </vt:vector>
  </TitlesOfParts>
  <Company>Additional Support Needs Tribunal</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Yvonne Gavan</dc:creator>
  <cp:lastModifiedBy>Tracey, Sarah-Anne</cp:lastModifiedBy>
  <cp:revision>3</cp:revision>
  <dcterms:created xsi:type="dcterms:W3CDTF">2022-10-25T13:06:00Z</dcterms:created>
  <dcterms:modified xsi:type="dcterms:W3CDTF">2022-10-25T13:12:00Z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Creator">
    <vt:lpwstr>Acrobat PDFMaker 15 for Word</vt:lpwstr>
  </property>
  <property fmtid="{D5CDD505-2E9C-101B-9397-08002B2CF9AE}" pid="4" name="LastSaved">
    <vt:filetime>2022-10-07T00:00:00Z</vt:filetime>
  </property>
  <property fmtid="{D5CDD505-2E9C-101B-9397-08002B2CF9AE}" pid="5" name="Objective-Caveats">
    <vt:lpwstr/>
  </property>
  <property fmtid="{D5CDD505-2E9C-101B-9397-08002B2CF9AE}" pid="6" name="Objective-Classification">
    <vt:lpwstr>Not classified</vt:lpwstr>
  </property>
  <property fmtid="{D5CDD505-2E9C-101B-9397-08002B2CF9AE}" pid="7" name="Objective-Comment">
    <vt:lpwstr/>
  </property>
  <property fmtid="{D5CDD505-2E9C-101B-9397-08002B2CF9AE}" pid="8" name="Objective-CreationStamp">
    <vt:lpwstr>D:20100915</vt:lpwstr>
  </property>
  <property fmtid="{D5CDD505-2E9C-101B-9397-08002B2CF9AE}" pid="9" name="Objective-Date Received [system]">
    <vt:lpwstr/>
  </property>
  <property fmtid="{D5CDD505-2E9C-101B-9397-08002B2CF9AE}" pid="10" name="Objective-Date of Original [system]">
    <vt:lpwstr/>
  </property>
  <property fmtid="{D5CDD505-2E9C-101B-9397-08002B2CF9AE}" pid="11" name="Objective-DatePublished">
    <vt:lpwstr>D:20100915</vt:lpwstr>
  </property>
  <property fmtid="{D5CDD505-2E9C-101B-9397-08002B2CF9AE}" pid="12" name="Objective-FileNumber">
    <vt:lpwstr>SL:ASNTSCASE/017/2010</vt:lpwstr>
  </property>
  <property fmtid="{D5CDD505-2E9C-101B-9397-08002B2CF9AE}" pid="13" name="Objective-Id">
    <vt:lpwstr>A17050</vt:lpwstr>
  </property>
  <property fmtid="{D5CDD505-2E9C-101B-9397-08002B2CF9AE}" pid="14" name="Objective-IsApproved">
    <vt:lpwstr>No</vt:lpwstr>
  </property>
  <property fmtid="{D5CDD505-2E9C-101B-9397-08002B2CF9AE}" pid="15" name="Objective-IsPublished">
    <vt:lpwstr>Yes</vt:lpwstr>
  </property>
  <property fmtid="{D5CDD505-2E9C-101B-9397-08002B2CF9AE}" pid="16" name="Objective-ModificationStamp">
    <vt:lpwstr>D:20100915</vt:lpwstr>
  </property>
  <property fmtid="{D5CDD505-2E9C-101B-9397-08002B2CF9AE}" pid="17" name="Objective-Owner">
    <vt:lpwstr>Gray, Lynda (SLZ300011)</vt:lpwstr>
  </property>
  <property fmtid="{D5CDD505-2E9C-101B-9397-08002B2CF9AE}" pid="18" name="Objective-Parent">
    <vt:lpwstr>SL:ASNTSCASE/017/2010:2010-</vt:lpwstr>
  </property>
  <property fmtid="{D5CDD505-2E9C-101B-9397-08002B2CF9AE}" pid="19" name="Objective-Path">
    <vt:lpwstr>Objective Global Folder:File Plan:Education, careers and employment:Education and skills:Special educational needs and additional support:Casework: Special educational needs and additional support:SL:ASNTSCASE/017/2010:2010-:</vt:lpwstr>
  </property>
  <property fmtid="{D5CDD505-2E9C-101B-9397-08002B2CF9AE}" pid="20" name="Objective-State">
    <vt:lpwstr>Published</vt:lpwstr>
  </property>
  <property fmtid="{D5CDD505-2E9C-101B-9397-08002B2CF9AE}" pid="21" name="Objective-Title">
    <vt:lpwstr>Summary Decision - 15 September 2010</vt:lpwstr>
  </property>
  <property fmtid="{D5CDD505-2E9C-101B-9397-08002B2CF9AE}" pid="22" name="Objective-Version">
    <vt:lpwstr>1.0</vt:lpwstr>
  </property>
  <property fmtid="{D5CDD505-2E9C-101B-9397-08002B2CF9AE}" pid="23" name="Objective-VersionComment">
    <vt:lpwstr>First version</vt:lpwstr>
  </property>
  <property fmtid="{D5CDD505-2E9C-101B-9397-08002B2CF9AE}" pid="24" name="Objective-VersionNumber">
    <vt:lpwstr>1</vt:lpwstr>
  </property>
  <property fmtid="{D5CDD505-2E9C-101B-9397-08002B2CF9AE}" pid="25" name="Producer">
    <vt:lpwstr>Adobe PDF Library 15.0</vt:lpwstr>
  </property>
  <property fmtid="{D5CDD505-2E9C-101B-9397-08002B2CF9AE}" pid="26" name="SourceModified">
    <vt:lpwstr>D:20161125094831</vt:lpwstr>
  </property>
</Properties>
</file>